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0" w:rsidRPr="00B17EF3" w:rsidRDefault="00601100" w:rsidP="00601100">
      <w:pPr>
        <w:ind w:firstLine="1134"/>
        <w:jc w:val="both"/>
        <w:rPr>
          <w:rFonts w:ascii="Arial" w:hAnsi="Arial" w:cs="Arial"/>
          <w:b/>
          <w:sz w:val="24"/>
          <w:szCs w:val="24"/>
          <w:u w:val="single"/>
        </w:rPr>
      </w:pPr>
      <w:r>
        <w:rPr>
          <w:rFonts w:ascii="Arial" w:hAnsi="Arial" w:cs="Arial"/>
          <w:b/>
          <w:sz w:val="24"/>
          <w:szCs w:val="24"/>
          <w:u w:val="single"/>
        </w:rPr>
        <w:t xml:space="preserve">                                                                        </w:t>
      </w:r>
    </w:p>
    <w:p w:rsidR="00601100" w:rsidRPr="00B17EF3" w:rsidRDefault="00601100" w:rsidP="00BF3276">
      <w:pPr>
        <w:jc w:val="both"/>
        <w:rPr>
          <w:rFonts w:ascii="Arial" w:hAnsi="Arial" w:cs="Arial"/>
          <w:sz w:val="24"/>
          <w:szCs w:val="24"/>
        </w:rPr>
      </w:pPr>
      <w:r w:rsidRPr="00B17EF3">
        <w:rPr>
          <w:rFonts w:ascii="Arial" w:hAnsi="Arial" w:cs="Arial"/>
          <w:b/>
          <w:sz w:val="24"/>
          <w:szCs w:val="24"/>
          <w:u w:val="single"/>
        </w:rPr>
        <w:t>SENTENCIA INTERLOCUTORIA. CAUSA Nº CNT 28095/2017/CA1–“</w:t>
      </w:r>
      <w:r w:rsidRPr="00B17EF3">
        <w:rPr>
          <w:rFonts w:ascii="Arial" w:hAnsi="Arial" w:cs="Arial"/>
          <w:b/>
          <w:sz w:val="24"/>
          <w:szCs w:val="24"/>
          <w:u w:val="single"/>
          <w:lang w:val="es-AR"/>
        </w:rPr>
        <w:t>FLORES, OSVALDO FEDERICO c/ FEDERACION PATRONAL SEGUROS S.A. s/ACCIDENTE - LEY ESPECIAL</w:t>
      </w:r>
      <w:r w:rsidRPr="00B17EF3">
        <w:rPr>
          <w:rFonts w:ascii="Arial" w:hAnsi="Arial" w:cs="Arial"/>
          <w:b/>
          <w:sz w:val="24"/>
          <w:szCs w:val="24"/>
          <w:u w:val="single"/>
        </w:rPr>
        <w:t>”  JUZGADO Nº 77</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lang w:val="es-MX" w:eastAsia="es-ES"/>
        </w:rPr>
      </w:pPr>
      <w:r w:rsidRPr="00B17EF3">
        <w:rPr>
          <w:rFonts w:ascii="Arial" w:hAnsi="Arial" w:cs="Arial"/>
          <w:sz w:val="24"/>
          <w:szCs w:val="24"/>
          <w:lang w:val="es-MX" w:eastAsia="es-ES"/>
        </w:rPr>
        <w:t xml:space="preserve">En la ciudad de Buenos Aires, capital de la República Argentina, a </w:t>
      </w:r>
      <w:r w:rsidR="00EC546C" w:rsidRPr="00EC546C">
        <w:rPr>
          <w:rFonts w:ascii="Arial" w:hAnsi="Arial" w:cs="Arial"/>
          <w:b/>
          <w:sz w:val="24"/>
          <w:szCs w:val="24"/>
          <w:lang w:val="es-MX" w:eastAsia="es-ES"/>
        </w:rPr>
        <w:t>28/11/2017</w:t>
      </w:r>
      <w:r w:rsidRPr="00B17EF3">
        <w:rPr>
          <w:rFonts w:ascii="Arial" w:hAnsi="Arial" w:cs="Arial"/>
          <w:sz w:val="24"/>
          <w:szCs w:val="24"/>
          <w:lang w:val="es-MX" w:eastAsia="es-ES"/>
        </w:rPr>
        <w:t>,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601100" w:rsidRPr="00B17EF3" w:rsidRDefault="00601100" w:rsidP="00601100">
      <w:pPr>
        <w:ind w:firstLine="1134"/>
        <w:jc w:val="both"/>
        <w:rPr>
          <w:rFonts w:ascii="Arial" w:hAnsi="Arial" w:cs="Arial"/>
          <w:b/>
          <w:sz w:val="24"/>
          <w:szCs w:val="24"/>
          <w:u w:val="single"/>
          <w:lang w:val="es-MX"/>
        </w:rPr>
      </w:pPr>
    </w:p>
    <w:p w:rsidR="00601100" w:rsidRPr="00B17EF3" w:rsidRDefault="00601100" w:rsidP="00601100">
      <w:pPr>
        <w:ind w:firstLine="1134"/>
        <w:jc w:val="both"/>
        <w:rPr>
          <w:rFonts w:ascii="Arial" w:hAnsi="Arial" w:cs="Arial"/>
          <w:b/>
          <w:sz w:val="24"/>
          <w:szCs w:val="24"/>
          <w:u w:val="single"/>
          <w:lang w:val="es-MX"/>
        </w:rPr>
      </w:pPr>
    </w:p>
    <w:p w:rsidR="00601100" w:rsidRPr="00B17EF3" w:rsidRDefault="00601100" w:rsidP="0001705E">
      <w:pPr>
        <w:jc w:val="both"/>
        <w:rPr>
          <w:rFonts w:ascii="Arial" w:hAnsi="Arial" w:cs="Arial"/>
          <w:b/>
          <w:sz w:val="24"/>
          <w:szCs w:val="24"/>
          <w:u w:val="single"/>
          <w:lang w:val="es-MX"/>
        </w:rPr>
      </w:pPr>
      <w:r w:rsidRPr="00B17EF3">
        <w:rPr>
          <w:rFonts w:ascii="Arial" w:hAnsi="Arial" w:cs="Arial"/>
          <w:b/>
          <w:sz w:val="24"/>
          <w:szCs w:val="24"/>
          <w:u w:val="single"/>
          <w:lang w:val="es-MX"/>
        </w:rPr>
        <w:t>La Dra. Diana Regina Cañal dijo:</w:t>
      </w:r>
    </w:p>
    <w:p w:rsidR="00601100" w:rsidRPr="00B17EF3" w:rsidRDefault="00601100" w:rsidP="00601100">
      <w:pPr>
        <w:jc w:val="both"/>
        <w:rPr>
          <w:rFonts w:ascii="Arial" w:hAnsi="Arial" w:cs="Arial"/>
          <w:b/>
          <w:sz w:val="24"/>
          <w:szCs w:val="24"/>
          <w:u w:val="single"/>
          <w:lang w:val="es-MX"/>
        </w:rPr>
      </w:pPr>
    </w:p>
    <w:p w:rsidR="00601100" w:rsidRPr="00B17EF3" w:rsidRDefault="00601100" w:rsidP="00601100">
      <w:pPr>
        <w:pStyle w:val="Textoindependiente"/>
        <w:spacing w:after="0"/>
        <w:ind w:firstLine="1134"/>
        <w:jc w:val="both"/>
        <w:rPr>
          <w:rFonts w:ascii="Arial" w:hAnsi="Arial" w:cs="Arial"/>
          <w:szCs w:val="24"/>
          <w:lang w:val="es-MX"/>
        </w:rPr>
      </w:pPr>
      <w:r w:rsidRPr="00B17EF3">
        <w:rPr>
          <w:rFonts w:ascii="Arial" w:hAnsi="Arial" w:cs="Arial"/>
          <w:b/>
          <w:szCs w:val="24"/>
          <w:lang w:val="es-MX"/>
        </w:rPr>
        <w:t>I.-</w:t>
      </w:r>
      <w:r w:rsidRPr="00B17EF3">
        <w:rPr>
          <w:rFonts w:ascii="Arial" w:hAnsi="Arial" w:cs="Arial"/>
          <w:szCs w:val="24"/>
          <w:lang w:val="es-MX"/>
        </w:rPr>
        <w:t xml:space="preserve"> Contra la resolución interlocutoria del a quo (fs. 20), en la que de</w:t>
      </w:r>
      <w:proofErr w:type="spellStart"/>
      <w:r w:rsidRPr="00B17EF3">
        <w:rPr>
          <w:rFonts w:ascii="Arial" w:hAnsi="Arial" w:cs="Arial"/>
          <w:szCs w:val="24"/>
          <w:lang w:val="es-AR"/>
        </w:rPr>
        <w:t>sestim</w:t>
      </w:r>
      <w:proofErr w:type="spellEnd"/>
      <w:r w:rsidRPr="00B17EF3">
        <w:rPr>
          <w:rFonts w:ascii="Arial" w:hAnsi="Arial" w:cs="Arial"/>
          <w:szCs w:val="24"/>
          <w:lang w:val="es-MX"/>
        </w:rPr>
        <w:t xml:space="preserve">ó </w:t>
      </w:r>
      <w:r w:rsidRPr="00B17EF3">
        <w:rPr>
          <w:rFonts w:ascii="Arial" w:hAnsi="Arial" w:cs="Arial"/>
          <w:szCs w:val="24"/>
          <w:lang w:val="es-AR"/>
        </w:rPr>
        <w:t xml:space="preserve">el planteo de </w:t>
      </w:r>
      <w:r w:rsidRPr="00B17EF3">
        <w:rPr>
          <w:rFonts w:ascii="Arial" w:hAnsi="Arial" w:cs="Arial"/>
          <w:szCs w:val="24"/>
          <w:lang w:val="es-MX"/>
        </w:rPr>
        <w:t xml:space="preserve">inconstitucionalidad </w:t>
      </w:r>
      <w:r>
        <w:rPr>
          <w:rFonts w:ascii="Arial" w:hAnsi="Arial" w:cs="Arial"/>
          <w:szCs w:val="24"/>
          <w:lang w:val="es-AR"/>
        </w:rPr>
        <w:t xml:space="preserve">formulado, e </w:t>
      </w:r>
      <w:r w:rsidRPr="00B17EF3">
        <w:rPr>
          <w:rFonts w:ascii="Arial" w:hAnsi="Arial" w:cs="Arial"/>
          <w:szCs w:val="24"/>
          <w:lang w:val="es-AR"/>
        </w:rPr>
        <w:t xml:space="preserve">hizo saber al accionante que debía agotar la vía administrativa delineada por la ley 27.348, </w:t>
      </w:r>
      <w:r w:rsidRPr="00B17EF3">
        <w:rPr>
          <w:rFonts w:ascii="Arial" w:hAnsi="Arial" w:cs="Arial"/>
          <w:szCs w:val="24"/>
          <w:lang w:val="es-MX"/>
        </w:rPr>
        <w:t>se alza este último, a tenor del memorial obrante a fs. 22/23.</w:t>
      </w:r>
    </w:p>
    <w:p w:rsidR="00601100" w:rsidRPr="00B17EF3" w:rsidRDefault="00601100" w:rsidP="00601100">
      <w:pPr>
        <w:pStyle w:val="Textoindependiente"/>
        <w:spacing w:after="0"/>
        <w:ind w:firstLine="1134"/>
        <w:jc w:val="both"/>
        <w:rPr>
          <w:rFonts w:ascii="Arial" w:hAnsi="Arial" w:cs="Arial"/>
          <w:b/>
          <w:szCs w:val="24"/>
        </w:rPr>
      </w:pPr>
    </w:p>
    <w:p w:rsidR="00601100" w:rsidRPr="00B17EF3" w:rsidRDefault="00601100" w:rsidP="00601100">
      <w:pPr>
        <w:ind w:firstLine="1134"/>
        <w:jc w:val="both"/>
        <w:rPr>
          <w:rFonts w:ascii="Arial" w:hAnsi="Arial" w:cs="Arial"/>
          <w:sz w:val="24"/>
          <w:szCs w:val="24"/>
          <w:lang w:val="es-AR"/>
        </w:rPr>
      </w:pPr>
      <w:r w:rsidRPr="00B17EF3">
        <w:rPr>
          <w:rFonts w:ascii="Arial" w:hAnsi="Arial" w:cs="Arial"/>
          <w:b/>
          <w:sz w:val="24"/>
          <w:szCs w:val="24"/>
        </w:rPr>
        <w:t>II.-</w:t>
      </w:r>
      <w:r w:rsidRPr="00B17EF3">
        <w:rPr>
          <w:rFonts w:ascii="Arial" w:hAnsi="Arial" w:cs="Arial"/>
          <w:sz w:val="24"/>
          <w:szCs w:val="24"/>
        </w:rPr>
        <w:t>El Sr. Juez de anterior grado entendió, que “</w:t>
      </w:r>
      <w:r w:rsidRPr="00B17EF3">
        <w:rPr>
          <w:rFonts w:ascii="Arial" w:hAnsi="Arial" w:cs="Arial"/>
          <w:i/>
          <w:sz w:val="24"/>
          <w:szCs w:val="24"/>
        </w:rPr>
        <w:t>l</w:t>
      </w:r>
      <w:r w:rsidRPr="00B17EF3">
        <w:rPr>
          <w:rFonts w:ascii="Arial" w:hAnsi="Arial" w:cs="Arial"/>
          <w:i/>
          <w:sz w:val="24"/>
          <w:szCs w:val="24"/>
          <w:lang w:val="es-AR"/>
        </w:rPr>
        <w:t>a parte actora</w:t>
      </w:r>
      <w:r>
        <w:rPr>
          <w:rFonts w:ascii="Arial" w:hAnsi="Arial" w:cs="Arial"/>
          <w:i/>
          <w:sz w:val="24"/>
          <w:szCs w:val="24"/>
          <w:lang w:val="es-AR"/>
        </w:rPr>
        <w:t xml:space="preserve"> </w:t>
      </w:r>
      <w:r w:rsidRPr="00B17EF3">
        <w:rPr>
          <w:rFonts w:ascii="Arial" w:hAnsi="Arial" w:cs="Arial"/>
          <w:i/>
          <w:sz w:val="24"/>
          <w:szCs w:val="24"/>
          <w:lang w:val="es-AR"/>
        </w:rPr>
        <w:t>no alegó los perjuicios concretos que le provoca la adopción del procedimiento administrativo previo impuesto por ley 27.348</w:t>
      </w:r>
      <w:r w:rsidRPr="00B17EF3">
        <w:rPr>
          <w:rFonts w:ascii="Arial" w:hAnsi="Arial" w:cs="Arial"/>
          <w:sz w:val="24"/>
          <w:szCs w:val="24"/>
          <w:lang w:val="es-AR"/>
        </w:rPr>
        <w:t>”. Agregó que no se puntualizó, “</w:t>
      </w:r>
      <w:r w:rsidRPr="00B17EF3">
        <w:rPr>
          <w:rFonts w:ascii="Arial" w:hAnsi="Arial" w:cs="Arial"/>
          <w:i/>
          <w:sz w:val="24"/>
          <w:szCs w:val="24"/>
          <w:lang w:val="es-AR"/>
        </w:rPr>
        <w:t>en qué modo la actuación ante las comisiones médicas afectaría el reconocimiento de su derecho</w:t>
      </w:r>
      <w:r>
        <w:rPr>
          <w:rFonts w:ascii="Arial" w:hAnsi="Arial" w:cs="Arial"/>
          <w:sz w:val="24"/>
          <w:szCs w:val="24"/>
          <w:lang w:val="es-AR"/>
        </w:rPr>
        <w:t>”</w:t>
      </w:r>
      <w:r w:rsidRPr="00B17EF3">
        <w:rPr>
          <w:rFonts w:ascii="Arial" w:hAnsi="Arial" w:cs="Arial"/>
          <w:sz w:val="24"/>
          <w:szCs w:val="24"/>
          <w:lang w:val="es-AR"/>
        </w:rPr>
        <w:t>.</w:t>
      </w:r>
    </w:p>
    <w:p w:rsidR="00601100" w:rsidRPr="00B17EF3" w:rsidRDefault="00601100" w:rsidP="00601100">
      <w:pPr>
        <w:ind w:firstLine="1134"/>
        <w:jc w:val="both"/>
        <w:rPr>
          <w:rFonts w:ascii="Arial" w:hAnsi="Arial" w:cs="Arial"/>
          <w:sz w:val="24"/>
          <w:szCs w:val="24"/>
          <w:lang w:val="es-AR"/>
        </w:rPr>
      </w:pPr>
    </w:p>
    <w:p w:rsidR="00601100" w:rsidRPr="00B17EF3" w:rsidRDefault="00601100" w:rsidP="00601100">
      <w:pPr>
        <w:ind w:firstLine="1134"/>
        <w:jc w:val="both"/>
        <w:rPr>
          <w:rFonts w:ascii="Arial" w:hAnsi="Arial" w:cs="Arial"/>
          <w:sz w:val="24"/>
          <w:szCs w:val="24"/>
        </w:rPr>
      </w:pPr>
      <w:r w:rsidRPr="00B17EF3">
        <w:rPr>
          <w:rFonts w:ascii="Arial" w:hAnsi="Arial" w:cs="Arial"/>
          <w:sz w:val="24"/>
          <w:szCs w:val="24"/>
          <w:lang w:val="es-AR"/>
        </w:rPr>
        <w:t>Por último, sostuvo que “</w:t>
      </w:r>
      <w:r w:rsidRPr="00B17EF3">
        <w:rPr>
          <w:rFonts w:ascii="Arial" w:hAnsi="Arial" w:cs="Arial"/>
          <w:i/>
          <w:sz w:val="24"/>
          <w:szCs w:val="24"/>
          <w:lang w:val="es-AR"/>
        </w:rPr>
        <w:t>la lectura de las normas involucradas, permite vislumbrar un escenario favorable a la rápida obtención de una decisión eficaz del conflicto</w:t>
      </w:r>
      <w:r>
        <w:rPr>
          <w:rFonts w:ascii="Arial" w:hAnsi="Arial" w:cs="Arial"/>
          <w:sz w:val="24"/>
          <w:szCs w:val="24"/>
          <w:lang w:val="es-AR"/>
        </w:rPr>
        <w:t>”</w:t>
      </w:r>
      <w:r w:rsidRPr="00B17EF3">
        <w:rPr>
          <w:rFonts w:ascii="Arial" w:hAnsi="Arial" w:cs="Arial"/>
          <w:sz w:val="24"/>
          <w:szCs w:val="24"/>
          <w:lang w:val="es-AR"/>
        </w:rPr>
        <w:t>.</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b/>
          <w:sz w:val="24"/>
          <w:szCs w:val="24"/>
        </w:rPr>
        <w:t>III.-</w:t>
      </w:r>
      <w:r w:rsidRPr="00B17EF3">
        <w:rPr>
          <w:rFonts w:ascii="Arial" w:hAnsi="Arial" w:cs="Arial"/>
          <w:sz w:val="24"/>
          <w:szCs w:val="24"/>
        </w:rPr>
        <w:t>El accionante recurrió tal decisorio, y sostuvo que “</w:t>
      </w:r>
      <w:r w:rsidRPr="00B17EF3">
        <w:rPr>
          <w:rFonts w:ascii="Arial" w:hAnsi="Arial" w:cs="Arial"/>
          <w:i/>
          <w:sz w:val="24"/>
          <w:szCs w:val="24"/>
        </w:rPr>
        <w:t>la adopción</w:t>
      </w:r>
      <w:r>
        <w:rPr>
          <w:rFonts w:ascii="Arial" w:hAnsi="Arial" w:cs="Arial"/>
          <w:i/>
          <w:sz w:val="24"/>
          <w:szCs w:val="24"/>
        </w:rPr>
        <w:t xml:space="preserve"> </w:t>
      </w:r>
      <w:r w:rsidRPr="00B17EF3">
        <w:rPr>
          <w:rFonts w:ascii="Arial" w:hAnsi="Arial" w:cs="Arial"/>
          <w:i/>
          <w:sz w:val="24"/>
          <w:szCs w:val="24"/>
        </w:rPr>
        <w:t>del procedimiento administrativo previo impuesto por ley 27.348 cercena el derecho de propiedad, el de acceso a la justicia, el del debido proceso, el de juez natural. Obligar al trabajador víctima de un infortunio laboral a someterse al arbitrio de una junta médica para resolver un conflicto legal, importa una clara e indiscutible denegación de justicia</w:t>
      </w:r>
      <w:r w:rsidRPr="00B17EF3">
        <w:rPr>
          <w:rFonts w:ascii="Arial" w:hAnsi="Arial" w:cs="Arial"/>
          <w:sz w:val="24"/>
          <w:szCs w:val="24"/>
        </w:rPr>
        <w:t>”.</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sz w:val="24"/>
          <w:szCs w:val="24"/>
        </w:rPr>
        <w:t>Asimismo, entiende que se viola el principio de igualdad y que con la citada norma, se “</w:t>
      </w:r>
      <w:r w:rsidRPr="00B17EF3">
        <w:rPr>
          <w:rFonts w:ascii="Arial" w:hAnsi="Arial" w:cs="Arial"/>
          <w:i/>
          <w:sz w:val="24"/>
          <w:szCs w:val="24"/>
        </w:rPr>
        <w:t xml:space="preserve">pretende suprimir los derechos de los trabajadores reconocidos por el art. 14 bis de la Constitución Nacional, el principio protectorio que éste enuncia y los principios de reparación integral, de </w:t>
      </w:r>
      <w:proofErr w:type="spellStart"/>
      <w:r w:rsidRPr="00B17EF3">
        <w:rPr>
          <w:rFonts w:ascii="Arial" w:hAnsi="Arial" w:cs="Arial"/>
          <w:i/>
          <w:sz w:val="24"/>
          <w:szCs w:val="24"/>
        </w:rPr>
        <w:t>irrenunciabilidad</w:t>
      </w:r>
      <w:proofErr w:type="spellEnd"/>
      <w:r w:rsidRPr="00B17EF3">
        <w:rPr>
          <w:rFonts w:ascii="Arial" w:hAnsi="Arial" w:cs="Arial"/>
          <w:i/>
          <w:sz w:val="24"/>
          <w:szCs w:val="24"/>
        </w:rPr>
        <w:t>, de progresividad, de aplicación de la norma más favorable, de no regresión normativa, de solidaridad</w:t>
      </w:r>
      <w:r w:rsidRPr="00B17EF3">
        <w:rPr>
          <w:rFonts w:ascii="Arial" w:hAnsi="Arial" w:cs="Arial"/>
          <w:sz w:val="24"/>
          <w:szCs w:val="24"/>
        </w:rPr>
        <w:t>…”.</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sz w:val="24"/>
          <w:szCs w:val="24"/>
        </w:rPr>
        <w:t>A su vez, considera que el nuevo régimen viola los arts. 8 y 10 de la Declaración Univ</w:t>
      </w:r>
      <w:r>
        <w:rPr>
          <w:rFonts w:ascii="Arial" w:hAnsi="Arial" w:cs="Arial"/>
          <w:sz w:val="24"/>
          <w:szCs w:val="24"/>
        </w:rPr>
        <w:t xml:space="preserve">ersal de Derechos Humanos, </w:t>
      </w:r>
      <w:r w:rsidRPr="00B17EF3">
        <w:rPr>
          <w:rFonts w:ascii="Arial" w:hAnsi="Arial" w:cs="Arial"/>
          <w:sz w:val="24"/>
          <w:szCs w:val="24"/>
        </w:rPr>
        <w:t xml:space="preserve">2.3 del </w:t>
      </w:r>
      <w:r>
        <w:rPr>
          <w:rFonts w:ascii="Arial" w:hAnsi="Arial" w:cs="Arial"/>
          <w:color w:val="000000"/>
          <w:sz w:val="24"/>
          <w:szCs w:val="24"/>
          <w:lang w:val="es-AR"/>
        </w:rPr>
        <w:t xml:space="preserve">PIDESC, </w:t>
      </w:r>
      <w:r w:rsidRPr="00B17EF3">
        <w:rPr>
          <w:rFonts w:ascii="Arial" w:hAnsi="Arial" w:cs="Arial"/>
          <w:color w:val="000000"/>
          <w:sz w:val="24"/>
          <w:szCs w:val="24"/>
          <w:lang w:val="es-AR"/>
        </w:rPr>
        <w:t xml:space="preserve"> 26 y 27 de la </w:t>
      </w:r>
      <w:r w:rsidRPr="00B17EF3">
        <w:rPr>
          <w:rFonts w:ascii="Arial" w:hAnsi="Arial" w:cs="Arial"/>
          <w:sz w:val="24"/>
          <w:szCs w:val="24"/>
        </w:rPr>
        <w:t xml:space="preserve">Declaración Americana de los Derechos y Deberes del Hombre, </w:t>
      </w:r>
      <w:r>
        <w:rPr>
          <w:rFonts w:ascii="Arial" w:hAnsi="Arial" w:cs="Arial"/>
          <w:sz w:val="24"/>
          <w:szCs w:val="24"/>
        </w:rPr>
        <w:t>y</w:t>
      </w:r>
      <w:r w:rsidRPr="00B17EF3">
        <w:rPr>
          <w:rFonts w:ascii="Arial" w:hAnsi="Arial" w:cs="Arial"/>
          <w:sz w:val="24"/>
          <w:szCs w:val="24"/>
        </w:rPr>
        <w:t xml:space="preserve"> 8.1de la Convención Americana de Derechos Humanos.</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b/>
          <w:sz w:val="24"/>
          <w:szCs w:val="24"/>
        </w:rPr>
        <w:t>IV.-</w:t>
      </w:r>
      <w:r w:rsidR="007249F7">
        <w:rPr>
          <w:rFonts w:ascii="Arial" w:hAnsi="Arial" w:cs="Arial"/>
          <w:b/>
          <w:sz w:val="24"/>
          <w:szCs w:val="24"/>
        </w:rPr>
        <w:t xml:space="preserve"> </w:t>
      </w:r>
      <w:r>
        <w:rPr>
          <w:rFonts w:ascii="Arial" w:hAnsi="Arial" w:cs="Arial"/>
          <w:sz w:val="24"/>
          <w:szCs w:val="24"/>
        </w:rPr>
        <w:t>Antes de abordar la cuestión traída a decisión, c</w:t>
      </w:r>
      <w:r w:rsidRPr="00B17EF3">
        <w:rPr>
          <w:rFonts w:ascii="Arial" w:hAnsi="Arial" w:cs="Arial"/>
          <w:sz w:val="24"/>
          <w:szCs w:val="24"/>
        </w:rPr>
        <w:t>orresponde aclara</w:t>
      </w:r>
      <w:r>
        <w:rPr>
          <w:rFonts w:ascii="Arial" w:hAnsi="Arial" w:cs="Arial"/>
          <w:sz w:val="24"/>
          <w:szCs w:val="24"/>
        </w:rPr>
        <w:t xml:space="preserve">r </w:t>
      </w:r>
      <w:r w:rsidRPr="00B17EF3">
        <w:rPr>
          <w:rFonts w:ascii="Arial" w:hAnsi="Arial" w:cs="Arial"/>
          <w:sz w:val="24"/>
          <w:szCs w:val="24"/>
        </w:rPr>
        <w:t>el motivo por el cual no se envía en vista al Fiscal</w:t>
      </w:r>
      <w:r>
        <w:rPr>
          <w:rFonts w:ascii="Arial" w:hAnsi="Arial" w:cs="Arial"/>
          <w:sz w:val="24"/>
          <w:szCs w:val="24"/>
        </w:rPr>
        <w:t xml:space="preserve"> General</w:t>
      </w:r>
      <w:r w:rsidRPr="00B17EF3">
        <w:rPr>
          <w:rFonts w:ascii="Arial" w:hAnsi="Arial" w:cs="Arial"/>
          <w:sz w:val="24"/>
          <w:szCs w:val="24"/>
        </w:rPr>
        <w:t xml:space="preserve"> la causa, a fin</w:t>
      </w:r>
      <w:r>
        <w:rPr>
          <w:rFonts w:ascii="Arial" w:hAnsi="Arial" w:cs="Arial"/>
          <w:sz w:val="24"/>
          <w:szCs w:val="24"/>
        </w:rPr>
        <w:t xml:space="preserve"> </w:t>
      </w:r>
      <w:r w:rsidRPr="00B17EF3">
        <w:rPr>
          <w:rFonts w:ascii="Arial" w:hAnsi="Arial" w:cs="Arial"/>
          <w:sz w:val="24"/>
          <w:szCs w:val="24"/>
        </w:rPr>
        <w:t xml:space="preserve">de tratar una </w:t>
      </w:r>
      <w:r>
        <w:rPr>
          <w:rFonts w:ascii="Arial" w:hAnsi="Arial" w:cs="Arial"/>
          <w:sz w:val="24"/>
          <w:szCs w:val="24"/>
        </w:rPr>
        <w:t xml:space="preserve">supuesta </w:t>
      </w:r>
      <w:r w:rsidRPr="00B17EF3">
        <w:rPr>
          <w:rFonts w:ascii="Arial" w:hAnsi="Arial" w:cs="Arial"/>
          <w:sz w:val="24"/>
          <w:szCs w:val="24"/>
        </w:rPr>
        <w:t xml:space="preserve">cuestión de competencia. </w:t>
      </w:r>
    </w:p>
    <w:p w:rsidR="00601100" w:rsidRPr="00B17EF3" w:rsidRDefault="00601100" w:rsidP="00601100">
      <w:pPr>
        <w:ind w:firstLine="1134"/>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sz w:val="24"/>
          <w:szCs w:val="24"/>
        </w:rPr>
        <w:lastRenderedPageBreak/>
        <w:t xml:space="preserve">Ello, se debe a que considero que no es </w:t>
      </w:r>
      <w:r>
        <w:rPr>
          <w:rFonts w:ascii="Arial" w:hAnsi="Arial" w:cs="Arial"/>
          <w:sz w:val="24"/>
          <w:szCs w:val="24"/>
        </w:rPr>
        <w:t xml:space="preserve">pertinente </w:t>
      </w:r>
      <w:r w:rsidRPr="00B17EF3">
        <w:rPr>
          <w:rFonts w:ascii="Arial" w:hAnsi="Arial" w:cs="Arial"/>
          <w:sz w:val="24"/>
          <w:szCs w:val="24"/>
        </w:rPr>
        <w:t>analizar la cuestión, dada la manera en que se ha encarado la demanda y ha resuelto el a quo.</w:t>
      </w:r>
    </w:p>
    <w:p w:rsidR="00601100" w:rsidRPr="00B17EF3"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t>Cabe señalar, que h</w:t>
      </w:r>
      <w:r w:rsidRPr="00B17EF3">
        <w:rPr>
          <w:rFonts w:ascii="Arial" w:hAnsi="Arial" w:cs="Arial"/>
          <w:sz w:val="24"/>
          <w:szCs w:val="24"/>
        </w:rPr>
        <w:t>asta el momento,</w:t>
      </w:r>
      <w:r>
        <w:rPr>
          <w:rFonts w:ascii="Arial" w:hAnsi="Arial" w:cs="Arial"/>
          <w:sz w:val="24"/>
          <w:szCs w:val="24"/>
        </w:rPr>
        <w:t xml:space="preserve"> </w:t>
      </w:r>
      <w:r w:rsidRPr="00B17EF3">
        <w:rPr>
          <w:rFonts w:ascii="Arial" w:hAnsi="Arial" w:cs="Arial"/>
          <w:sz w:val="24"/>
          <w:szCs w:val="24"/>
        </w:rPr>
        <w:t>estamos</w:t>
      </w:r>
      <w:r>
        <w:rPr>
          <w:rFonts w:ascii="Arial" w:hAnsi="Arial" w:cs="Arial"/>
          <w:sz w:val="24"/>
          <w:szCs w:val="24"/>
        </w:rPr>
        <w:t xml:space="preserve"> </w:t>
      </w:r>
      <w:r w:rsidRPr="00B17EF3">
        <w:rPr>
          <w:rFonts w:ascii="Arial" w:hAnsi="Arial" w:cs="Arial"/>
          <w:sz w:val="24"/>
          <w:szCs w:val="24"/>
        </w:rPr>
        <w:t>únicamente ante un liminar control de c</w:t>
      </w:r>
      <w:r>
        <w:rPr>
          <w:rFonts w:ascii="Arial" w:hAnsi="Arial" w:cs="Arial"/>
          <w:sz w:val="24"/>
          <w:szCs w:val="24"/>
        </w:rPr>
        <w:t xml:space="preserve">onstitucionalidad del procedimiento administrativo obligatorio diseñado en la </w:t>
      </w:r>
      <w:r w:rsidRPr="00B17EF3">
        <w:rPr>
          <w:rFonts w:ascii="Arial" w:hAnsi="Arial" w:cs="Arial"/>
          <w:sz w:val="24"/>
          <w:szCs w:val="24"/>
        </w:rPr>
        <w:t>ley 27.348, puesto que</w:t>
      </w:r>
      <w:r>
        <w:rPr>
          <w:rFonts w:ascii="Arial" w:hAnsi="Arial" w:cs="Arial"/>
          <w:sz w:val="24"/>
          <w:szCs w:val="24"/>
        </w:rPr>
        <w:t xml:space="preserve"> el juzgador de origen, solo se pronunció al respecto, decretando su constitucionalidad.</w:t>
      </w:r>
      <w:r w:rsidRPr="00B17EF3">
        <w:rPr>
          <w:rFonts w:ascii="Arial" w:hAnsi="Arial" w:cs="Arial"/>
          <w:sz w:val="24"/>
          <w:szCs w:val="24"/>
        </w:rPr>
        <w:t xml:space="preserve"> </w:t>
      </w:r>
    </w:p>
    <w:p w:rsidR="00601100" w:rsidRPr="00B17EF3" w:rsidRDefault="00601100" w:rsidP="00601100">
      <w:pPr>
        <w:jc w:val="both"/>
        <w:rPr>
          <w:rFonts w:ascii="Arial" w:hAnsi="Arial" w:cs="Arial"/>
          <w:sz w:val="24"/>
          <w:szCs w:val="24"/>
        </w:rPr>
      </w:pPr>
    </w:p>
    <w:p w:rsidR="00601100" w:rsidRPr="00B17EF3" w:rsidRDefault="00601100" w:rsidP="00601100">
      <w:pPr>
        <w:ind w:firstLine="1134"/>
        <w:jc w:val="both"/>
        <w:rPr>
          <w:rFonts w:ascii="Arial" w:hAnsi="Arial" w:cs="Arial"/>
          <w:sz w:val="24"/>
          <w:szCs w:val="24"/>
        </w:rPr>
      </w:pPr>
      <w:r w:rsidRPr="00B17EF3">
        <w:rPr>
          <w:rFonts w:ascii="Arial" w:hAnsi="Arial" w:cs="Arial"/>
          <w:b/>
          <w:sz w:val="24"/>
          <w:szCs w:val="24"/>
        </w:rPr>
        <w:t>V.-</w:t>
      </w:r>
      <w:r>
        <w:rPr>
          <w:rFonts w:ascii="Arial" w:hAnsi="Arial" w:cs="Arial"/>
          <w:b/>
          <w:sz w:val="24"/>
          <w:szCs w:val="24"/>
        </w:rPr>
        <w:t xml:space="preserve"> </w:t>
      </w:r>
      <w:r w:rsidRPr="00B17EF3">
        <w:rPr>
          <w:rFonts w:ascii="Arial" w:hAnsi="Arial" w:cs="Arial"/>
          <w:sz w:val="24"/>
          <w:szCs w:val="24"/>
        </w:rPr>
        <w:t>En primer lugar, cabe señalar que el actor, en su escrito de inicio (ver fs.  5/15) manifestó haber sufrido un accidente de trabajo el día 03/03/2017</w:t>
      </w:r>
      <w:r>
        <w:rPr>
          <w:rFonts w:ascii="Arial" w:hAnsi="Arial" w:cs="Arial"/>
          <w:sz w:val="24"/>
          <w:szCs w:val="24"/>
        </w:rPr>
        <w:t>, formulando el reclamo de su indemnización en el marco de la leyes 24557 y 26773</w:t>
      </w:r>
      <w:r w:rsidRPr="00B17EF3">
        <w:rPr>
          <w:rFonts w:ascii="Arial" w:hAnsi="Arial" w:cs="Arial"/>
          <w:sz w:val="24"/>
          <w:szCs w:val="24"/>
        </w:rPr>
        <w:t xml:space="preserve">. </w:t>
      </w:r>
      <w:r>
        <w:rPr>
          <w:rFonts w:ascii="Arial" w:hAnsi="Arial" w:cs="Arial"/>
          <w:sz w:val="24"/>
          <w:szCs w:val="24"/>
        </w:rPr>
        <w:t>Entre las inconstitucionalidades planteadas, cuestionó el procedimiento administrativo dispuesto en los artículos 1, 2, 3, 14 y 15, de la L</w:t>
      </w:r>
      <w:r w:rsidRPr="00B17EF3">
        <w:rPr>
          <w:rFonts w:ascii="Arial" w:hAnsi="Arial" w:cs="Arial"/>
          <w:sz w:val="24"/>
          <w:szCs w:val="24"/>
        </w:rPr>
        <w:t>ey 27.348.</w:t>
      </w:r>
    </w:p>
    <w:p w:rsidR="00601100" w:rsidRPr="00B17EF3" w:rsidRDefault="00601100" w:rsidP="00601100">
      <w:pPr>
        <w:ind w:firstLine="1134"/>
        <w:jc w:val="both"/>
        <w:rPr>
          <w:rFonts w:ascii="Arial" w:hAnsi="Arial" w:cs="Arial"/>
          <w:sz w:val="24"/>
          <w:szCs w:val="24"/>
        </w:rPr>
      </w:pPr>
    </w:p>
    <w:p w:rsidR="00601100" w:rsidRDefault="00601100" w:rsidP="00601100">
      <w:pPr>
        <w:pStyle w:val="Textoindependiente"/>
        <w:spacing w:after="0"/>
        <w:ind w:firstLine="1134"/>
        <w:jc w:val="both"/>
        <w:rPr>
          <w:rFonts w:ascii="Arial" w:hAnsi="Arial" w:cs="Arial"/>
          <w:szCs w:val="24"/>
        </w:rPr>
      </w:pPr>
      <w:r w:rsidRPr="00B17EF3">
        <w:rPr>
          <w:rFonts w:ascii="Arial" w:hAnsi="Arial" w:cs="Arial"/>
          <w:b/>
          <w:szCs w:val="24"/>
        </w:rPr>
        <w:t>VI.-</w:t>
      </w:r>
      <w:r w:rsidRPr="00B17EF3">
        <w:rPr>
          <w:rFonts w:ascii="Arial" w:hAnsi="Arial" w:cs="Arial"/>
          <w:szCs w:val="24"/>
        </w:rPr>
        <w:t>Es necesario d</w:t>
      </w:r>
      <w:r w:rsidRPr="00B17EF3">
        <w:rPr>
          <w:rFonts w:ascii="Arial" w:hAnsi="Arial" w:cs="Arial"/>
          <w:szCs w:val="24"/>
          <w:lang w:val="es-AR"/>
        </w:rPr>
        <w:t xml:space="preserve">estacar, que </w:t>
      </w:r>
      <w:r w:rsidRPr="00B17EF3">
        <w:rPr>
          <w:rFonts w:ascii="Arial" w:hAnsi="Arial" w:cs="Arial"/>
          <w:szCs w:val="24"/>
          <w:lang w:val="es-MX"/>
        </w:rPr>
        <w:t>a esta altura de los acontecimientos, existe un dictamen del Fiscal General de la Cámara (nº 72.879 del 12 de julio de 2017), y un pronunciamiento de la Sala II en la Sentencia Interlocutoria Nº 74.095 del 3 de agosto del 2017,</w:t>
      </w:r>
      <w:r>
        <w:rPr>
          <w:rFonts w:ascii="Arial" w:hAnsi="Arial" w:cs="Arial"/>
          <w:szCs w:val="24"/>
          <w:lang w:val="es-MX"/>
        </w:rPr>
        <w:t xml:space="preserve"> </w:t>
      </w:r>
      <w:r w:rsidRPr="00B17EF3">
        <w:rPr>
          <w:rFonts w:ascii="Arial" w:hAnsi="Arial" w:cs="Arial"/>
          <w:szCs w:val="24"/>
          <w:lang w:val="es-MX"/>
        </w:rPr>
        <w:t xml:space="preserve">ambos </w:t>
      </w:r>
      <w:r>
        <w:rPr>
          <w:rFonts w:ascii="Arial" w:hAnsi="Arial" w:cs="Arial"/>
          <w:szCs w:val="24"/>
          <w:lang w:val="es-MX"/>
        </w:rPr>
        <w:t>en</w:t>
      </w:r>
      <w:r w:rsidRPr="00B17EF3">
        <w:rPr>
          <w:rFonts w:ascii="Arial" w:hAnsi="Arial" w:cs="Arial"/>
          <w:szCs w:val="24"/>
          <w:lang w:val="es-MX"/>
        </w:rPr>
        <w:t xml:space="preserve"> la causa “</w:t>
      </w:r>
      <w:proofErr w:type="spellStart"/>
      <w:r w:rsidRPr="00B17EF3">
        <w:rPr>
          <w:rFonts w:ascii="Arial" w:hAnsi="Arial" w:cs="Arial"/>
          <w:szCs w:val="24"/>
          <w:lang w:val="es-MX"/>
        </w:rPr>
        <w:t>Burghi</w:t>
      </w:r>
      <w:proofErr w:type="spellEnd"/>
      <w:r w:rsidRPr="00B17EF3">
        <w:rPr>
          <w:rFonts w:ascii="Arial" w:hAnsi="Arial" w:cs="Arial"/>
          <w:szCs w:val="24"/>
          <w:lang w:val="es-MX"/>
        </w:rPr>
        <w:t xml:space="preserve">, Florencia Victoria C/ </w:t>
      </w:r>
      <w:proofErr w:type="spellStart"/>
      <w:r w:rsidRPr="00B17EF3">
        <w:rPr>
          <w:rFonts w:ascii="Arial" w:hAnsi="Arial" w:cs="Arial"/>
          <w:szCs w:val="24"/>
          <w:lang w:val="es-MX"/>
        </w:rPr>
        <w:t>Swiss</w:t>
      </w:r>
      <w:proofErr w:type="spellEnd"/>
      <w:r w:rsidRPr="00B17EF3">
        <w:rPr>
          <w:rFonts w:ascii="Arial" w:hAnsi="Arial" w:cs="Arial"/>
          <w:szCs w:val="24"/>
          <w:lang w:val="es-MX"/>
        </w:rPr>
        <w:t xml:space="preserve"> Medical ART S.A. S/Accidente - Ley Especial”. Asimismo, la </w:t>
      </w:r>
      <w:r w:rsidRPr="00B17EF3">
        <w:rPr>
          <w:rFonts w:ascii="Arial" w:hAnsi="Arial" w:cs="Arial"/>
          <w:szCs w:val="24"/>
        </w:rPr>
        <w:t>Sala X, se pronunció el 30 de agosto de 2017,  en los autos “</w:t>
      </w:r>
      <w:proofErr w:type="spellStart"/>
      <w:r w:rsidRPr="00B17EF3">
        <w:rPr>
          <w:rFonts w:ascii="Arial" w:hAnsi="Arial" w:cs="Arial"/>
          <w:szCs w:val="24"/>
        </w:rPr>
        <w:t>Corvalán</w:t>
      </w:r>
      <w:proofErr w:type="spellEnd"/>
      <w:r w:rsidRPr="00B17EF3">
        <w:rPr>
          <w:rFonts w:ascii="Arial" w:hAnsi="Arial" w:cs="Arial"/>
          <w:szCs w:val="24"/>
        </w:rPr>
        <w:t xml:space="preserve"> Héctor Eduardo, c/ </w:t>
      </w:r>
      <w:proofErr w:type="spellStart"/>
      <w:r w:rsidRPr="00B17EF3">
        <w:rPr>
          <w:rFonts w:ascii="Arial" w:hAnsi="Arial" w:cs="Arial"/>
          <w:szCs w:val="24"/>
        </w:rPr>
        <w:t>Swiss</w:t>
      </w:r>
      <w:proofErr w:type="spellEnd"/>
      <w:r w:rsidRPr="00B17EF3">
        <w:rPr>
          <w:rFonts w:ascii="Arial" w:hAnsi="Arial" w:cs="Arial"/>
          <w:szCs w:val="24"/>
        </w:rPr>
        <w:t xml:space="preserve"> Medical ART S.A. s/Accidente Ley Especial”</w:t>
      </w:r>
      <w:r>
        <w:rPr>
          <w:rFonts w:ascii="Arial" w:hAnsi="Arial" w:cs="Arial"/>
          <w:szCs w:val="24"/>
        </w:rPr>
        <w:t xml:space="preserve">, otro tanto hizo la Sala I el 12 de setiembre del corriente en autos “Luna Dolores Eduviges c/ Provincia ART S.A.”, así como la Sala V el 18 de agosto de 2017, en “Quispe Román, George c/ Provincia ART S.A. s/accidente”. </w:t>
      </w:r>
    </w:p>
    <w:p w:rsidR="00601100" w:rsidRPr="00B17EF3" w:rsidRDefault="00601100" w:rsidP="00601100">
      <w:pPr>
        <w:pStyle w:val="Textoindependiente"/>
        <w:spacing w:after="0"/>
        <w:ind w:firstLine="1134"/>
        <w:jc w:val="both"/>
        <w:rPr>
          <w:rFonts w:ascii="Arial" w:hAnsi="Arial" w:cs="Arial"/>
          <w:szCs w:val="24"/>
          <w:lang w:val="es-MX"/>
        </w:rPr>
      </w:pPr>
    </w:p>
    <w:p w:rsidR="00601100" w:rsidRDefault="00601100" w:rsidP="00601100">
      <w:pPr>
        <w:pStyle w:val="Textoindependiente"/>
        <w:spacing w:after="0"/>
        <w:ind w:firstLine="1134"/>
        <w:jc w:val="both"/>
        <w:rPr>
          <w:rFonts w:ascii="Arial" w:hAnsi="Arial" w:cs="Arial"/>
          <w:szCs w:val="24"/>
          <w:lang w:val="es-AR"/>
        </w:rPr>
      </w:pPr>
      <w:r w:rsidRPr="00B17EF3">
        <w:rPr>
          <w:rFonts w:ascii="Arial" w:hAnsi="Arial" w:cs="Arial"/>
          <w:szCs w:val="24"/>
          <w:lang w:val="es-MX"/>
        </w:rPr>
        <w:t xml:space="preserve">En el caso de la Sala II, en consonancia con el dictamen fiscal, </w:t>
      </w:r>
      <w:r>
        <w:rPr>
          <w:rFonts w:ascii="Arial" w:hAnsi="Arial" w:cs="Arial"/>
          <w:szCs w:val="24"/>
          <w:lang w:val="es-MX"/>
        </w:rPr>
        <w:t>y el fallo de la primera instancia, se confirmó</w:t>
      </w:r>
      <w:r w:rsidRPr="00B17EF3">
        <w:rPr>
          <w:rFonts w:ascii="Arial" w:hAnsi="Arial" w:cs="Arial"/>
          <w:szCs w:val="24"/>
          <w:lang w:val="es-MX"/>
        </w:rPr>
        <w:t xml:space="preserve"> </w:t>
      </w:r>
      <w:r>
        <w:rPr>
          <w:rFonts w:ascii="Arial" w:hAnsi="Arial" w:cs="Arial"/>
          <w:szCs w:val="24"/>
          <w:lang w:val="es-MX"/>
        </w:rPr>
        <w:t xml:space="preserve">el rechazo del planteo sobre la inconstitucionalidad del procedimiento administrativo obligatorio. </w:t>
      </w:r>
      <w:r w:rsidRPr="00B17EF3">
        <w:rPr>
          <w:rFonts w:ascii="Arial" w:hAnsi="Arial" w:cs="Arial"/>
          <w:szCs w:val="24"/>
          <w:lang w:val="es-MX"/>
        </w:rPr>
        <w:t xml:space="preserve">Por su parte, la mencionada Sala X, </w:t>
      </w:r>
      <w:r w:rsidRPr="00B17EF3">
        <w:rPr>
          <w:rFonts w:ascii="Arial" w:hAnsi="Arial" w:cs="Arial"/>
          <w:szCs w:val="24"/>
          <w:lang w:val="es-AR"/>
        </w:rPr>
        <w:t xml:space="preserve">asume la competencia de la Justicia Nacional del Trabajo, por considerar inconstitucional las excesivas facultades conferidas </w:t>
      </w:r>
      <w:r w:rsidRPr="00EB71C9">
        <w:rPr>
          <w:rFonts w:ascii="Arial" w:hAnsi="Arial" w:cs="Arial"/>
          <w:szCs w:val="24"/>
          <w:lang w:val="es-AR"/>
        </w:rPr>
        <w:t>a las CCMM</w:t>
      </w:r>
      <w:r>
        <w:rPr>
          <w:rFonts w:ascii="Arial" w:hAnsi="Arial" w:cs="Arial"/>
          <w:szCs w:val="24"/>
          <w:lang w:val="es-AR"/>
        </w:rPr>
        <w:t xml:space="preserve">, en </w:t>
      </w:r>
      <w:r w:rsidRPr="00B17EF3">
        <w:rPr>
          <w:rFonts w:ascii="Arial" w:hAnsi="Arial" w:cs="Arial"/>
          <w:szCs w:val="24"/>
          <w:lang w:val="es-AR"/>
        </w:rPr>
        <w:t>la Resolución SRT 298/17</w:t>
      </w:r>
      <w:r>
        <w:rPr>
          <w:rFonts w:ascii="Arial" w:hAnsi="Arial" w:cs="Arial"/>
          <w:szCs w:val="24"/>
          <w:lang w:val="es-AR"/>
        </w:rPr>
        <w:t xml:space="preserve">. En el caso de la Sala I por una cuestión temporal se consideró abstracta la cuestión, declarando la competencia del fuero y, finalmente, en el de la Sala V, se decretó la nulidad de la desestimación del planteo de inconstitucionalidad de la ley ab initio y sin producción de prueba, así como la consecuente declaración de falta de aptitud jurisdiccional del fuero. </w:t>
      </w:r>
    </w:p>
    <w:p w:rsidR="00601100" w:rsidRPr="00B17EF3" w:rsidRDefault="00601100" w:rsidP="00601100">
      <w:pPr>
        <w:pStyle w:val="Textoindependiente"/>
        <w:spacing w:after="0"/>
        <w:ind w:firstLine="1134"/>
        <w:jc w:val="both"/>
        <w:rPr>
          <w:rFonts w:ascii="Arial" w:hAnsi="Arial" w:cs="Arial"/>
          <w:szCs w:val="24"/>
          <w:lang w:val="es-MX"/>
        </w:rPr>
      </w:pPr>
    </w:p>
    <w:p w:rsidR="00601100" w:rsidRPr="00B17EF3" w:rsidRDefault="00601100" w:rsidP="00601100">
      <w:pPr>
        <w:pStyle w:val="Textoindependiente"/>
        <w:spacing w:after="0"/>
        <w:ind w:firstLine="1134"/>
        <w:jc w:val="both"/>
        <w:rPr>
          <w:rFonts w:ascii="Arial" w:hAnsi="Arial" w:cs="Arial"/>
          <w:szCs w:val="24"/>
          <w:lang w:val="es-MX"/>
        </w:rPr>
      </w:pPr>
      <w:r w:rsidRPr="00B17EF3">
        <w:rPr>
          <w:rFonts w:ascii="Arial" w:hAnsi="Arial" w:cs="Arial"/>
          <w:szCs w:val="24"/>
          <w:lang w:val="es-MX"/>
        </w:rPr>
        <w:t>Los argumentos expuestos, tanto por el ministerio fiscal, como por mis colegas, serán tenidos en cuenta en el presente análisis</w:t>
      </w:r>
      <w:r>
        <w:rPr>
          <w:rFonts w:ascii="Arial" w:hAnsi="Arial" w:cs="Arial"/>
          <w:szCs w:val="24"/>
          <w:lang w:val="es-MX"/>
        </w:rPr>
        <w:t>, al igual que la interpretación, que hasta el momento ha sostenido la Corte sobre la jurisdicción administrativa.</w:t>
      </w:r>
    </w:p>
    <w:p w:rsidR="00601100" w:rsidRPr="00B17EF3"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rPr>
      </w:pPr>
      <w:r w:rsidRPr="00B17EF3">
        <w:rPr>
          <w:rFonts w:ascii="Arial" w:hAnsi="Arial" w:cs="Arial"/>
          <w:b/>
          <w:sz w:val="24"/>
          <w:szCs w:val="24"/>
        </w:rPr>
        <w:t>VII.-</w:t>
      </w:r>
      <w:r>
        <w:rPr>
          <w:rFonts w:ascii="Arial" w:hAnsi="Arial" w:cs="Arial"/>
          <w:sz w:val="24"/>
          <w:szCs w:val="24"/>
        </w:rPr>
        <w:t xml:space="preserve">Preliminarmente, adelanto que he sostenido y argumentado inveteradamente </w:t>
      </w:r>
      <w:r w:rsidRPr="00B17EF3">
        <w:rPr>
          <w:rFonts w:ascii="Arial" w:hAnsi="Arial" w:cs="Arial"/>
          <w:sz w:val="24"/>
          <w:szCs w:val="24"/>
        </w:rPr>
        <w:t>-sobre lo que me explayaré aquí a su debido tiempo-</w:t>
      </w:r>
      <w:r>
        <w:rPr>
          <w:rFonts w:ascii="Arial" w:hAnsi="Arial" w:cs="Arial"/>
          <w:sz w:val="24"/>
          <w:szCs w:val="24"/>
        </w:rPr>
        <w:t xml:space="preserve">, que </w:t>
      </w:r>
      <w:r w:rsidRPr="00B17EF3">
        <w:rPr>
          <w:rFonts w:ascii="Arial" w:hAnsi="Arial" w:cs="Arial"/>
          <w:sz w:val="24"/>
          <w:szCs w:val="24"/>
        </w:rPr>
        <w:t xml:space="preserve">en nuestro sistema jurídico, de modelo continental, los fallos de la Corte Suprema de Justicia de la Nación, no revisten </w:t>
      </w:r>
      <w:r>
        <w:rPr>
          <w:rFonts w:ascii="Arial" w:hAnsi="Arial" w:cs="Arial"/>
          <w:sz w:val="24"/>
          <w:szCs w:val="24"/>
        </w:rPr>
        <w:t>fuerza vinculante para el resto de</w:t>
      </w:r>
      <w:r w:rsidRPr="00B17EF3">
        <w:rPr>
          <w:rFonts w:ascii="Arial" w:hAnsi="Arial" w:cs="Arial"/>
          <w:sz w:val="24"/>
          <w:szCs w:val="24"/>
        </w:rPr>
        <w:t xml:space="preserve"> los jueces, toda vez que sus pronunciamiento</w:t>
      </w:r>
      <w:r>
        <w:rPr>
          <w:rFonts w:ascii="Arial" w:hAnsi="Arial" w:cs="Arial"/>
          <w:sz w:val="24"/>
          <w:szCs w:val="24"/>
        </w:rPr>
        <w:t>s</w:t>
      </w:r>
      <w:r w:rsidRPr="00B17EF3">
        <w:rPr>
          <w:rFonts w:ascii="Arial" w:hAnsi="Arial" w:cs="Arial"/>
          <w:sz w:val="24"/>
          <w:szCs w:val="24"/>
        </w:rPr>
        <w:t xml:space="preserve"> son ley en sentido p</w:t>
      </w:r>
      <w:r>
        <w:rPr>
          <w:rFonts w:ascii="Arial" w:hAnsi="Arial" w:cs="Arial"/>
          <w:sz w:val="24"/>
          <w:szCs w:val="24"/>
        </w:rPr>
        <w:t>articular, sólo para las partes</w:t>
      </w:r>
      <w:r>
        <w:rPr>
          <w:rStyle w:val="Refdenotaalpie"/>
          <w:rFonts w:ascii="Arial" w:hAnsi="Arial" w:cs="Arial"/>
          <w:sz w:val="24"/>
          <w:szCs w:val="24"/>
        </w:rPr>
        <w:footnoteReference w:id="1"/>
      </w:r>
      <w:r>
        <w:rPr>
          <w:rFonts w:ascii="Arial" w:hAnsi="Arial" w:cs="Arial"/>
          <w:sz w:val="24"/>
          <w:szCs w:val="24"/>
        </w:rPr>
        <w:t>.</w:t>
      </w:r>
    </w:p>
    <w:p w:rsidR="00601100" w:rsidRDefault="00601100" w:rsidP="00601100">
      <w:pPr>
        <w:ind w:firstLine="1134"/>
        <w:jc w:val="both"/>
        <w:rPr>
          <w:rFonts w:ascii="Arial" w:hAnsi="Arial" w:cs="Arial"/>
          <w:sz w:val="24"/>
          <w:szCs w:val="24"/>
        </w:rPr>
      </w:pPr>
      <w:r w:rsidRPr="00B17EF3">
        <w:rPr>
          <w:rFonts w:ascii="Arial" w:hAnsi="Arial" w:cs="Arial"/>
          <w:sz w:val="24"/>
          <w:szCs w:val="24"/>
        </w:rPr>
        <w:t xml:space="preserve"> </w:t>
      </w:r>
    </w:p>
    <w:p w:rsidR="00601100" w:rsidRDefault="00601100" w:rsidP="00601100">
      <w:pPr>
        <w:ind w:firstLine="1134"/>
        <w:jc w:val="both"/>
        <w:rPr>
          <w:rFonts w:ascii="Arial" w:hAnsi="Arial" w:cs="Arial"/>
          <w:sz w:val="24"/>
          <w:szCs w:val="24"/>
        </w:rPr>
      </w:pPr>
      <w:r w:rsidRPr="00B17EF3">
        <w:rPr>
          <w:rFonts w:ascii="Arial" w:hAnsi="Arial" w:cs="Arial"/>
          <w:sz w:val="24"/>
          <w:szCs w:val="24"/>
        </w:rPr>
        <w:t>No</w:t>
      </w:r>
      <w:r>
        <w:rPr>
          <w:rFonts w:ascii="Arial" w:hAnsi="Arial" w:cs="Arial"/>
          <w:sz w:val="24"/>
          <w:szCs w:val="24"/>
        </w:rPr>
        <w:t xml:space="preserve"> obstante, cabe advertir </w:t>
      </w:r>
      <w:r w:rsidRPr="00B17EF3">
        <w:rPr>
          <w:rFonts w:ascii="Arial" w:hAnsi="Arial" w:cs="Arial"/>
          <w:sz w:val="24"/>
          <w:szCs w:val="24"/>
        </w:rPr>
        <w:t xml:space="preserve">que sus pautas interpretativas –así como las de la Corte Interamericana de Derechos Humanos-, </w:t>
      </w:r>
      <w:r>
        <w:rPr>
          <w:rFonts w:ascii="Arial" w:hAnsi="Arial" w:cs="Arial"/>
          <w:sz w:val="24"/>
          <w:szCs w:val="24"/>
        </w:rPr>
        <w:t xml:space="preserve">no deben ser soslayadas a la hora de realizar </w:t>
      </w:r>
      <w:r w:rsidRPr="00B17EF3">
        <w:rPr>
          <w:rFonts w:ascii="Arial" w:hAnsi="Arial" w:cs="Arial"/>
          <w:sz w:val="24"/>
          <w:szCs w:val="24"/>
        </w:rPr>
        <w:t xml:space="preserve">el obligado control </w:t>
      </w:r>
      <w:r>
        <w:rPr>
          <w:rFonts w:ascii="Arial" w:hAnsi="Arial" w:cs="Arial"/>
          <w:sz w:val="24"/>
          <w:szCs w:val="24"/>
        </w:rPr>
        <w:t xml:space="preserve">difuso </w:t>
      </w:r>
      <w:r w:rsidRPr="00B17EF3">
        <w:rPr>
          <w:rFonts w:ascii="Arial" w:hAnsi="Arial" w:cs="Arial"/>
          <w:sz w:val="24"/>
          <w:szCs w:val="24"/>
        </w:rPr>
        <w:t xml:space="preserve">de </w:t>
      </w:r>
      <w:r w:rsidRPr="00B17EF3">
        <w:rPr>
          <w:rFonts w:ascii="Arial" w:hAnsi="Arial" w:cs="Arial"/>
          <w:sz w:val="24"/>
          <w:szCs w:val="24"/>
        </w:rPr>
        <w:lastRenderedPageBreak/>
        <w:t xml:space="preserve">constitucionalidad –y </w:t>
      </w:r>
      <w:r>
        <w:rPr>
          <w:rFonts w:ascii="Arial" w:hAnsi="Arial" w:cs="Arial"/>
          <w:sz w:val="24"/>
          <w:szCs w:val="24"/>
        </w:rPr>
        <w:t xml:space="preserve">de </w:t>
      </w:r>
      <w:r w:rsidRPr="00B17EF3">
        <w:rPr>
          <w:rFonts w:ascii="Arial" w:hAnsi="Arial" w:cs="Arial"/>
          <w:sz w:val="24"/>
          <w:szCs w:val="24"/>
        </w:rPr>
        <w:t xml:space="preserve">convencionalidad- de las </w:t>
      </w:r>
      <w:r>
        <w:rPr>
          <w:rFonts w:ascii="Arial" w:hAnsi="Arial" w:cs="Arial"/>
          <w:sz w:val="24"/>
          <w:szCs w:val="24"/>
        </w:rPr>
        <w:t xml:space="preserve">normas que conforman el sistema jurídico vigente, aunque reitero, no implican la obligatoriedad de las doctrinas que establecen. Dicho ello con la salvedad de que si la doctrina que fijan es la más progresiva para su momento, en ese caso no podría resolverse por debajo de ese </w:t>
      </w:r>
      <w:proofErr w:type="spellStart"/>
      <w:r>
        <w:rPr>
          <w:rFonts w:ascii="Arial" w:hAnsi="Arial" w:cs="Arial"/>
          <w:sz w:val="24"/>
          <w:szCs w:val="24"/>
        </w:rPr>
        <w:t>standard</w:t>
      </w:r>
      <w:proofErr w:type="spellEnd"/>
      <w:r>
        <w:rPr>
          <w:rFonts w:ascii="Arial" w:hAnsi="Arial" w:cs="Arial"/>
          <w:sz w:val="24"/>
          <w:szCs w:val="24"/>
        </w:rPr>
        <w:t xml:space="preserve">, pero no porque el precedente sea vinculante, sino porque el principio de progresividad deriva de una norma interpretativa incorporada al sistema. </w:t>
      </w:r>
    </w:p>
    <w:p w:rsidR="00601100" w:rsidRPr="00B17EF3"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t>Establecido ello, circunscribo el foco de lo aquí planteado, a la discusión sobre la pertinencia de la jurisdicción administrativa obligatoria, con desplazamiento de la justicia ordinaria en la resolución de conflictos, lo que implica un análisis en general y otro en particular de la cuestión.</w:t>
      </w:r>
    </w:p>
    <w:p w:rsidR="00601100" w:rsidRDefault="00601100" w:rsidP="00601100">
      <w:pPr>
        <w:ind w:firstLine="1134"/>
        <w:jc w:val="both"/>
        <w:rPr>
          <w:rFonts w:ascii="Arial" w:hAnsi="Arial" w:cs="Arial"/>
          <w:sz w:val="24"/>
          <w:szCs w:val="24"/>
        </w:rPr>
      </w:pPr>
    </w:p>
    <w:p w:rsidR="00601100" w:rsidRPr="009C39A2" w:rsidRDefault="00601100" w:rsidP="00601100">
      <w:pPr>
        <w:ind w:firstLine="1134"/>
        <w:jc w:val="both"/>
        <w:rPr>
          <w:rFonts w:ascii="Arial" w:hAnsi="Arial" w:cs="Arial"/>
          <w:sz w:val="24"/>
          <w:szCs w:val="24"/>
        </w:rPr>
      </w:pPr>
      <w:r w:rsidRPr="009C39A2">
        <w:rPr>
          <w:rFonts w:ascii="Arial" w:hAnsi="Arial" w:cs="Arial"/>
          <w:sz w:val="24"/>
          <w:szCs w:val="24"/>
        </w:rPr>
        <w:t>En efecto, en términos generales, es necesario comprender la estructura jurídica del modelo argentino, dentro de la cual se está juzgando la viabilidad de prorrogar la justicia ordinaria a una justicia administrativa, de carácter obligatoria. De ser livianos en este aspecto técnico, o de incurrir en meros argumentos de autoridad que conviertan en verdadero lo falso</w:t>
      </w:r>
      <w:r w:rsidRPr="009C39A2">
        <w:rPr>
          <w:rStyle w:val="Refdenotaalpie"/>
          <w:rFonts w:ascii="Arial" w:hAnsi="Arial" w:cs="Arial"/>
          <w:sz w:val="24"/>
          <w:szCs w:val="24"/>
        </w:rPr>
        <w:footnoteReference w:id="2"/>
      </w:r>
      <w:r w:rsidRPr="009C39A2">
        <w:rPr>
          <w:rFonts w:ascii="Arial" w:hAnsi="Arial" w:cs="Arial"/>
          <w:sz w:val="24"/>
          <w:szCs w:val="24"/>
        </w:rPr>
        <w:t>, podemos incurrir en importantes confusiones que impliquen decisiones contrarias al derecho constitucional vigente</w:t>
      </w:r>
      <w:r w:rsidRPr="009C39A2">
        <w:rPr>
          <w:rStyle w:val="Refdenotaalpie"/>
          <w:rFonts w:ascii="Arial" w:hAnsi="Arial" w:cs="Arial"/>
          <w:sz w:val="24"/>
          <w:szCs w:val="24"/>
        </w:rPr>
        <w:footnoteReference w:id="3"/>
      </w:r>
      <w:r w:rsidRPr="009C39A2">
        <w:rPr>
          <w:rFonts w:ascii="Arial" w:hAnsi="Arial" w:cs="Arial"/>
          <w:sz w:val="24"/>
          <w:szCs w:val="24"/>
        </w:rPr>
        <w:t>.</w:t>
      </w:r>
    </w:p>
    <w:p w:rsidR="00601100" w:rsidRPr="009C39A2"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t>De tal modo, observo con preocupación que tanto la doctrina especializada, cuanto el Ministerio Público y la Jurisprudencia, se remiten en este tema, a precedentes de la Corte de EEUU sin formular distinciones, y extrapolan conceptos, como el de la agencia administrativa y el rol de los principios</w:t>
      </w:r>
      <w:r>
        <w:rPr>
          <w:rStyle w:val="Refdenotaalpie"/>
          <w:rFonts w:ascii="Arial" w:hAnsi="Arial" w:cs="Arial"/>
          <w:sz w:val="24"/>
          <w:szCs w:val="24"/>
        </w:rPr>
        <w:footnoteReference w:id="4"/>
      </w:r>
      <w:r>
        <w:rPr>
          <w:rFonts w:ascii="Arial" w:hAnsi="Arial" w:cs="Arial"/>
          <w:sz w:val="24"/>
          <w:szCs w:val="24"/>
        </w:rPr>
        <w:t>, sin contemplar que su modelo jurídico es diferente al nuestro.</w:t>
      </w:r>
    </w:p>
    <w:p w:rsidR="00601100" w:rsidRDefault="00601100" w:rsidP="00601100">
      <w:pPr>
        <w:ind w:firstLine="1134"/>
        <w:jc w:val="both"/>
        <w:rPr>
          <w:rFonts w:ascii="Arial" w:hAnsi="Arial" w:cs="Arial"/>
          <w:sz w:val="24"/>
          <w:szCs w:val="24"/>
        </w:rPr>
      </w:pPr>
    </w:p>
    <w:p w:rsidR="00601100" w:rsidRPr="009C39A2" w:rsidRDefault="00601100" w:rsidP="00601100">
      <w:pPr>
        <w:ind w:firstLine="1134"/>
        <w:jc w:val="both"/>
        <w:rPr>
          <w:rFonts w:ascii="Arial" w:hAnsi="Arial" w:cs="Arial"/>
          <w:sz w:val="24"/>
          <w:szCs w:val="24"/>
        </w:rPr>
      </w:pPr>
      <w:r w:rsidRPr="009C39A2">
        <w:rPr>
          <w:rFonts w:ascii="Arial" w:hAnsi="Arial" w:cs="Arial"/>
          <w:sz w:val="24"/>
          <w:szCs w:val="24"/>
        </w:rPr>
        <w:t>Esto se debió a que, como lo plantearon la primera y segunda instancia en el caso “</w:t>
      </w:r>
      <w:proofErr w:type="spellStart"/>
      <w:r w:rsidRPr="009C39A2">
        <w:rPr>
          <w:rFonts w:ascii="Arial" w:hAnsi="Arial" w:cs="Arial"/>
          <w:sz w:val="24"/>
          <w:szCs w:val="24"/>
        </w:rPr>
        <w:t>Burghi</w:t>
      </w:r>
      <w:proofErr w:type="spellEnd"/>
      <w:r w:rsidRPr="009C39A2">
        <w:rPr>
          <w:rFonts w:ascii="Arial" w:hAnsi="Arial" w:cs="Arial"/>
          <w:sz w:val="24"/>
          <w:szCs w:val="24"/>
        </w:rPr>
        <w:t xml:space="preserve">”, y otro tanto la Fiscalía General, se pretendió seguir la doctrina del fallo “Ángel Estrada”, dictado por el Máximo Tribunal, el  5 de abril de 2005, que utiliza precedentes del país del </w:t>
      </w:r>
      <w:r w:rsidR="007249F7">
        <w:rPr>
          <w:rFonts w:ascii="Arial" w:hAnsi="Arial" w:cs="Arial"/>
          <w:sz w:val="24"/>
          <w:szCs w:val="24"/>
        </w:rPr>
        <w:t>N</w:t>
      </w:r>
      <w:r w:rsidRPr="009C39A2">
        <w:rPr>
          <w:rFonts w:ascii="Arial" w:hAnsi="Arial" w:cs="Arial"/>
          <w:sz w:val="24"/>
          <w:szCs w:val="24"/>
        </w:rPr>
        <w:t>orte.</w:t>
      </w:r>
    </w:p>
    <w:p w:rsidR="00601100" w:rsidRPr="005070D3"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t>Allí, entre otros temas, la CSJN se pronunció sobre</w:t>
      </w:r>
      <w:r w:rsidRPr="00322760">
        <w:rPr>
          <w:rFonts w:ascii="Arial" w:hAnsi="Arial" w:cs="Arial"/>
          <w:sz w:val="24"/>
          <w:szCs w:val="24"/>
        </w:rPr>
        <w:t xml:space="preserve"> la competencia del organismo de control </w:t>
      </w:r>
      <w:r>
        <w:rPr>
          <w:rFonts w:ascii="Arial" w:hAnsi="Arial" w:cs="Arial"/>
          <w:sz w:val="24"/>
          <w:szCs w:val="24"/>
        </w:rPr>
        <w:t xml:space="preserve">-ENRE- </w:t>
      </w:r>
      <w:r w:rsidRPr="00322760">
        <w:rPr>
          <w:rFonts w:ascii="Arial" w:hAnsi="Arial" w:cs="Arial"/>
          <w:sz w:val="24"/>
          <w:szCs w:val="24"/>
        </w:rPr>
        <w:t>para resolver en sede administrativa sobre la responsabilidad por daños y perjuicios</w:t>
      </w:r>
      <w:r>
        <w:rPr>
          <w:rFonts w:ascii="Arial" w:hAnsi="Arial" w:cs="Arial"/>
          <w:sz w:val="24"/>
          <w:szCs w:val="24"/>
        </w:rPr>
        <w:t xml:space="preserve">–ocasionados por la empresa prestataria, </w:t>
      </w:r>
      <w:proofErr w:type="spellStart"/>
      <w:r>
        <w:rPr>
          <w:rFonts w:ascii="Arial" w:hAnsi="Arial" w:cs="Arial"/>
          <w:sz w:val="24"/>
          <w:szCs w:val="24"/>
        </w:rPr>
        <w:t>Edesur</w:t>
      </w:r>
      <w:proofErr w:type="spellEnd"/>
      <w:r>
        <w:rPr>
          <w:rFonts w:ascii="Arial" w:hAnsi="Arial" w:cs="Arial"/>
          <w:sz w:val="24"/>
          <w:szCs w:val="24"/>
        </w:rPr>
        <w:t xml:space="preserve"> SA, a los usuarios reclamantes-</w:t>
      </w:r>
      <w:r w:rsidRPr="00322760">
        <w:rPr>
          <w:rFonts w:ascii="Arial" w:hAnsi="Arial" w:cs="Arial"/>
          <w:sz w:val="24"/>
          <w:szCs w:val="24"/>
        </w:rPr>
        <w:t xml:space="preserve">, con fundamento en el derecho </w:t>
      </w:r>
      <w:r>
        <w:rPr>
          <w:rFonts w:ascii="Arial" w:hAnsi="Arial" w:cs="Arial"/>
          <w:sz w:val="24"/>
          <w:szCs w:val="24"/>
        </w:rPr>
        <w:t>común</w:t>
      </w:r>
      <w:r w:rsidRPr="00322760">
        <w:rPr>
          <w:rFonts w:ascii="Arial" w:hAnsi="Arial" w:cs="Arial"/>
          <w:sz w:val="24"/>
          <w:szCs w:val="24"/>
        </w:rPr>
        <w:t>.</w:t>
      </w:r>
    </w:p>
    <w:p w:rsidR="00601100"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t>A tal fin, y hablando de modelos comparados, toda vez que en “Ángel Estrada” la Corte en efecto, habría de echar mano a precedentes de la Corte Suprema de los Estados Unidos, a fin de determinar la viabilidad de la aplicación de los mismos, refrescó las bases de nuestro sistema constitucional, de acuerdo a la organización del poder que  decantó la historia de nuestro país, en los constituyentes de 1853/60. Metodología que no se sigue habitualmente, y que, por cierto evitaría muchas distorsiones, cada vez que se extrapolan institutos sin mayor reflexión.</w:t>
      </w:r>
    </w:p>
    <w:p w:rsidR="00601100"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Pr>
          <w:rFonts w:ascii="Arial" w:hAnsi="Arial" w:cs="Arial"/>
          <w:sz w:val="24"/>
          <w:szCs w:val="24"/>
        </w:rPr>
        <w:lastRenderedPageBreak/>
        <w:t xml:space="preserve">De hecho, que incansablemente propongo en mis pronunciamientos, la observación sobre el distingo entre el modelo continental y el de </w:t>
      </w:r>
      <w:proofErr w:type="spellStart"/>
      <w:r>
        <w:rPr>
          <w:rFonts w:ascii="Arial" w:hAnsi="Arial" w:cs="Arial"/>
          <w:i/>
          <w:sz w:val="24"/>
          <w:szCs w:val="24"/>
        </w:rPr>
        <w:t>common</w:t>
      </w:r>
      <w:proofErr w:type="spellEnd"/>
      <w:r>
        <w:rPr>
          <w:rFonts w:ascii="Arial" w:hAnsi="Arial" w:cs="Arial"/>
          <w:i/>
          <w:sz w:val="24"/>
          <w:szCs w:val="24"/>
        </w:rPr>
        <w:t xml:space="preserve"> </w:t>
      </w:r>
      <w:proofErr w:type="spellStart"/>
      <w:r>
        <w:rPr>
          <w:rFonts w:ascii="Arial" w:hAnsi="Arial" w:cs="Arial"/>
          <w:i/>
          <w:sz w:val="24"/>
          <w:szCs w:val="24"/>
        </w:rPr>
        <w:t>l</w:t>
      </w:r>
      <w:r w:rsidRPr="0014646C">
        <w:rPr>
          <w:rFonts w:ascii="Arial" w:hAnsi="Arial" w:cs="Arial"/>
          <w:i/>
          <w:sz w:val="24"/>
          <w:szCs w:val="24"/>
        </w:rPr>
        <w:t>aw</w:t>
      </w:r>
      <w:proofErr w:type="spellEnd"/>
      <w:r>
        <w:rPr>
          <w:rFonts w:ascii="Arial" w:hAnsi="Arial" w:cs="Arial"/>
          <w:sz w:val="24"/>
          <w:szCs w:val="24"/>
        </w:rPr>
        <w:t>, el primero adoptado por la Argentina, y el segundo por EE. UU.</w:t>
      </w:r>
      <w:r>
        <w:rPr>
          <w:rStyle w:val="Refdenotaalpie"/>
          <w:rFonts w:ascii="Arial" w:hAnsi="Arial" w:cs="Arial"/>
          <w:sz w:val="24"/>
          <w:szCs w:val="24"/>
        </w:rPr>
        <w:footnoteReference w:id="5"/>
      </w:r>
      <w:r>
        <w:rPr>
          <w:rFonts w:ascii="Arial" w:hAnsi="Arial" w:cs="Arial"/>
          <w:sz w:val="24"/>
          <w:szCs w:val="24"/>
        </w:rPr>
        <w:t>. Ello obedece a la necesidad de explicar detenida y sistémicamente, el porqué de una decisión, que muchas veces se aparta del común denominador. Por eso, no tener claro el “</w:t>
      </w:r>
      <w:r w:rsidRPr="00036585">
        <w:rPr>
          <w:rFonts w:ascii="Arial" w:hAnsi="Arial" w:cs="Arial"/>
          <w:i/>
          <w:sz w:val="24"/>
          <w:szCs w:val="24"/>
        </w:rPr>
        <w:t>GPS</w:t>
      </w:r>
      <w:r>
        <w:rPr>
          <w:rFonts w:ascii="Arial" w:hAnsi="Arial" w:cs="Arial"/>
          <w:sz w:val="24"/>
          <w:szCs w:val="24"/>
        </w:rPr>
        <w:t xml:space="preserve">”, tanto en el derecho como en el deporte y la conducción, sería algo así como, jugar un partido de fútbol donde el árbitro aplique el reglamento del </w:t>
      </w:r>
      <w:proofErr w:type="spellStart"/>
      <w:r w:rsidRPr="009E4E53">
        <w:rPr>
          <w:rFonts w:ascii="Arial" w:hAnsi="Arial" w:cs="Arial"/>
          <w:i/>
          <w:sz w:val="24"/>
          <w:szCs w:val="24"/>
        </w:rPr>
        <w:t>volleyball</w:t>
      </w:r>
      <w:proofErr w:type="spellEnd"/>
      <w:r>
        <w:rPr>
          <w:rFonts w:ascii="Arial" w:hAnsi="Arial" w:cs="Arial"/>
          <w:sz w:val="24"/>
          <w:szCs w:val="24"/>
        </w:rPr>
        <w:t xml:space="preserve"> </w:t>
      </w:r>
      <w:r>
        <w:rPr>
          <w:rStyle w:val="Refdenotaalpie"/>
          <w:rFonts w:ascii="Arial" w:hAnsi="Arial" w:cs="Arial"/>
          <w:sz w:val="24"/>
          <w:szCs w:val="24"/>
        </w:rPr>
        <w:footnoteReference w:id="6"/>
      </w:r>
      <w:r>
        <w:rPr>
          <w:rFonts w:ascii="Arial" w:hAnsi="Arial" w:cs="Arial"/>
          <w:sz w:val="24"/>
          <w:szCs w:val="24"/>
        </w:rPr>
        <w:t>, o pretender avanzar en las rutas de Londres por la izquierda.</w:t>
      </w:r>
    </w:p>
    <w:p w:rsidR="00601100"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lang w:val="es-MX"/>
        </w:rPr>
      </w:pPr>
      <w:r>
        <w:rPr>
          <w:rFonts w:ascii="Arial" w:hAnsi="Arial" w:cs="Arial"/>
          <w:sz w:val="24"/>
          <w:szCs w:val="24"/>
        </w:rPr>
        <w:t xml:space="preserve">Este fue el motivo por el cual profundicé estos conceptos a la hora de evaluar la reforma, también en materia de riesgos, en relación con la competencia y los beneficios de la Ley 26773, en los fallos </w:t>
      </w:r>
      <w:r w:rsidRPr="00131AE1">
        <w:rPr>
          <w:rFonts w:ascii="Arial" w:hAnsi="Arial" w:cs="Arial"/>
          <w:sz w:val="24"/>
          <w:szCs w:val="24"/>
          <w:lang w:val="es-MX"/>
        </w:rPr>
        <w:t>“Acevedo”</w:t>
      </w:r>
      <w:r>
        <w:rPr>
          <w:rStyle w:val="Refdenotaalpie"/>
          <w:rFonts w:ascii="Arial" w:hAnsi="Arial" w:cs="Arial"/>
          <w:sz w:val="24"/>
          <w:szCs w:val="24"/>
          <w:lang w:val="es-MX"/>
        </w:rPr>
        <w:footnoteReference w:id="7"/>
      </w:r>
      <w:r w:rsidRPr="00131AE1">
        <w:rPr>
          <w:rFonts w:ascii="Arial" w:hAnsi="Arial" w:cs="Arial"/>
          <w:sz w:val="24"/>
          <w:szCs w:val="24"/>
          <w:lang w:val="es-MX"/>
        </w:rPr>
        <w:t>, y “</w:t>
      </w:r>
      <w:proofErr w:type="spellStart"/>
      <w:r w:rsidRPr="00131AE1">
        <w:rPr>
          <w:rFonts w:ascii="Arial" w:hAnsi="Arial" w:cs="Arial"/>
          <w:sz w:val="24"/>
          <w:szCs w:val="24"/>
          <w:lang w:val="es-MX"/>
        </w:rPr>
        <w:t>Fiorino</w:t>
      </w:r>
      <w:proofErr w:type="spellEnd"/>
      <w:r w:rsidRPr="00131AE1">
        <w:rPr>
          <w:rFonts w:ascii="Arial" w:hAnsi="Arial" w:cs="Arial"/>
          <w:sz w:val="24"/>
          <w:szCs w:val="24"/>
          <w:lang w:val="es-MX"/>
        </w:rPr>
        <w:t>”</w:t>
      </w:r>
      <w:r w:rsidRPr="00131AE1">
        <w:rPr>
          <w:rFonts w:ascii="Arial" w:hAnsi="Arial" w:cs="Arial"/>
          <w:sz w:val="24"/>
          <w:szCs w:val="24"/>
          <w:vertAlign w:val="superscript"/>
          <w:lang w:val="es-MX"/>
        </w:rPr>
        <w:footnoteReference w:id="8"/>
      </w:r>
      <w:r>
        <w:rPr>
          <w:rFonts w:ascii="Arial" w:hAnsi="Arial" w:cs="Arial"/>
          <w:sz w:val="24"/>
          <w:szCs w:val="24"/>
          <w:lang w:val="es-MX"/>
        </w:rPr>
        <w:t>, lo que haré nuevamente en el tema que me convoca.</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Luego, en un segundo nivel de coincidencia con la doctrina de “Ángel Estrada”, la misma remarca como pauta metodológica -Considerando 12-, la necesidad de la interpretación sistémica al decir que “</w:t>
      </w:r>
      <w:r w:rsidRPr="000B2AFC">
        <w:rPr>
          <w:rFonts w:ascii="Arial" w:hAnsi="Arial" w:cs="Arial"/>
          <w:sz w:val="24"/>
          <w:szCs w:val="24"/>
          <w:lang w:val="es-AR"/>
        </w:rPr>
        <w:t>para delimit</w:t>
      </w:r>
      <w:r>
        <w:rPr>
          <w:rFonts w:ascii="Arial" w:hAnsi="Arial" w:cs="Arial"/>
          <w:sz w:val="24"/>
          <w:szCs w:val="24"/>
          <w:lang w:val="es-AR"/>
        </w:rPr>
        <w:t xml:space="preserve">ar el alcance de las facultades </w:t>
      </w:r>
      <w:r w:rsidRPr="000B2AFC">
        <w:rPr>
          <w:rFonts w:ascii="Arial" w:hAnsi="Arial" w:cs="Arial"/>
          <w:sz w:val="24"/>
          <w:szCs w:val="24"/>
          <w:lang w:val="es-AR"/>
        </w:rPr>
        <w:t>a que se refiere el art. 72 de la ley 24.065</w:t>
      </w:r>
      <w:r>
        <w:rPr>
          <w:rFonts w:ascii="Arial" w:hAnsi="Arial" w:cs="Arial"/>
          <w:sz w:val="24"/>
          <w:szCs w:val="24"/>
          <w:lang w:val="es-AR"/>
        </w:rPr>
        <w:t xml:space="preserve"> –allí en debate- </w:t>
      </w:r>
      <w:r w:rsidRPr="000B2AFC">
        <w:rPr>
          <w:rFonts w:ascii="Arial" w:hAnsi="Arial" w:cs="Arial"/>
          <w:sz w:val="24"/>
          <w:szCs w:val="24"/>
          <w:lang w:val="es-AR"/>
        </w:rPr>
        <w:t>es preciso computar</w:t>
      </w:r>
      <w:r>
        <w:rPr>
          <w:rFonts w:ascii="Arial" w:hAnsi="Arial" w:cs="Arial"/>
          <w:sz w:val="24"/>
          <w:szCs w:val="24"/>
          <w:lang w:val="es-AR"/>
        </w:rPr>
        <w:t xml:space="preserve"> </w:t>
      </w:r>
      <w:r w:rsidRPr="000B2AFC">
        <w:rPr>
          <w:rFonts w:ascii="Arial" w:hAnsi="Arial" w:cs="Arial"/>
          <w:sz w:val="24"/>
          <w:szCs w:val="24"/>
          <w:lang w:val="es-AR"/>
        </w:rPr>
        <w:t xml:space="preserve">la totalidad de sus preceptos, de manera que </w:t>
      </w:r>
      <w:r w:rsidRPr="00D21C17">
        <w:rPr>
          <w:rFonts w:ascii="Arial" w:hAnsi="Arial" w:cs="Arial"/>
          <w:b/>
          <w:sz w:val="24"/>
          <w:szCs w:val="24"/>
          <w:lang w:val="es-AR"/>
        </w:rPr>
        <w:t>armonicen</w:t>
      </w:r>
      <w:r>
        <w:rPr>
          <w:rFonts w:ascii="Arial" w:hAnsi="Arial" w:cs="Arial"/>
          <w:sz w:val="24"/>
          <w:szCs w:val="24"/>
          <w:lang w:val="es-AR"/>
        </w:rPr>
        <w:t xml:space="preserve"> </w:t>
      </w:r>
      <w:r w:rsidRPr="00A11633">
        <w:rPr>
          <w:rFonts w:ascii="Arial" w:hAnsi="Arial" w:cs="Arial"/>
          <w:b/>
          <w:sz w:val="24"/>
          <w:szCs w:val="24"/>
          <w:lang w:val="es-AR"/>
        </w:rPr>
        <w:t>con el ordenamiento jurídico restante y, especialmente, con los principios y garantías de la Constitución Nacional</w:t>
      </w:r>
      <w:r w:rsidRPr="000B2AFC">
        <w:rPr>
          <w:rFonts w:ascii="Arial" w:hAnsi="Arial" w:cs="Arial"/>
          <w:sz w:val="24"/>
          <w:szCs w:val="24"/>
          <w:lang w:val="es-AR"/>
        </w:rPr>
        <w:t xml:space="preserve"> (Fallos:</w:t>
      </w:r>
      <w:r>
        <w:rPr>
          <w:rFonts w:ascii="Arial" w:hAnsi="Arial" w:cs="Arial"/>
          <w:sz w:val="24"/>
          <w:szCs w:val="24"/>
          <w:lang w:val="es-AR"/>
        </w:rPr>
        <w:t xml:space="preserve"> </w:t>
      </w:r>
      <w:r w:rsidRPr="000B2AFC">
        <w:rPr>
          <w:rFonts w:ascii="Arial" w:hAnsi="Arial" w:cs="Arial"/>
          <w:sz w:val="24"/>
          <w:szCs w:val="24"/>
          <w:lang w:val="es-AR"/>
        </w:rPr>
        <w:t>312:111 y 1036, y sus citas).</w:t>
      </w:r>
      <w:r>
        <w:rPr>
          <w:rFonts w:ascii="Arial" w:hAnsi="Arial" w:cs="Arial"/>
          <w:sz w:val="24"/>
          <w:szCs w:val="24"/>
          <w:lang w:val="es-MX"/>
        </w:rPr>
        <w:t>” (</w:t>
      </w:r>
      <w:r w:rsidR="002E37D5">
        <w:rPr>
          <w:rFonts w:ascii="Arial" w:hAnsi="Arial" w:cs="Arial"/>
          <w:sz w:val="24"/>
          <w:szCs w:val="24"/>
          <w:lang w:val="es-MX"/>
        </w:rPr>
        <w:t>Lo</w:t>
      </w:r>
      <w:r>
        <w:rPr>
          <w:rFonts w:ascii="Arial" w:hAnsi="Arial" w:cs="Arial"/>
          <w:sz w:val="24"/>
          <w:szCs w:val="24"/>
          <w:lang w:val="es-MX"/>
        </w:rPr>
        <w:t xml:space="preserve"> puesto de resalto me pertenece)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En efecto, este tipo de hermenéutica </w:t>
      </w:r>
      <w:r>
        <w:rPr>
          <w:rFonts w:ascii="Arial" w:hAnsi="Arial" w:cs="Arial"/>
          <w:sz w:val="24"/>
          <w:szCs w:val="24"/>
          <w:lang w:val="es-AR"/>
        </w:rPr>
        <w:t>es la que practico en la resolución de las causas y, expresamente, lo he manifestado</w:t>
      </w:r>
      <w:r w:rsidRPr="00391DD9">
        <w:rPr>
          <w:rFonts w:ascii="Arial" w:hAnsi="Arial" w:cs="Arial"/>
          <w:sz w:val="24"/>
          <w:szCs w:val="24"/>
          <w:lang w:val="es-AR"/>
        </w:rPr>
        <w:t xml:space="preserve"> en </w:t>
      </w:r>
      <w:r>
        <w:rPr>
          <w:rFonts w:ascii="Arial" w:hAnsi="Arial" w:cs="Arial"/>
          <w:sz w:val="24"/>
          <w:szCs w:val="24"/>
          <w:lang w:val="es-AR"/>
        </w:rPr>
        <w:t xml:space="preserve">los </w:t>
      </w:r>
      <w:r w:rsidRPr="00391DD9">
        <w:rPr>
          <w:rFonts w:ascii="Arial" w:hAnsi="Arial" w:cs="Arial"/>
          <w:sz w:val="24"/>
          <w:szCs w:val="24"/>
          <w:lang w:val="es-AR"/>
        </w:rPr>
        <w:t xml:space="preserve">precedentes </w:t>
      </w:r>
      <w:r>
        <w:rPr>
          <w:rFonts w:ascii="Arial" w:hAnsi="Arial" w:cs="Arial"/>
          <w:sz w:val="24"/>
          <w:szCs w:val="24"/>
          <w:lang w:val="es-AR"/>
        </w:rPr>
        <w:t>mencionados y en numerosos decisorios como</w:t>
      </w:r>
      <w:r w:rsidRPr="00391DD9">
        <w:rPr>
          <w:rFonts w:ascii="Arial" w:hAnsi="Arial" w:cs="Arial"/>
          <w:sz w:val="24"/>
          <w:szCs w:val="24"/>
          <w:lang w:val="es-AR"/>
        </w:rPr>
        <w:t xml:space="preserve"> juez de la primera instancia</w:t>
      </w:r>
      <w:r w:rsidRPr="00391DD9">
        <w:rPr>
          <w:rFonts w:ascii="Arial" w:hAnsi="Arial" w:cs="Arial"/>
          <w:sz w:val="24"/>
          <w:szCs w:val="24"/>
          <w:vertAlign w:val="superscript"/>
          <w:lang w:val="es-AR"/>
        </w:rPr>
        <w:footnoteReference w:id="9"/>
      </w:r>
      <w:r>
        <w:rPr>
          <w:rFonts w:ascii="Arial" w:hAnsi="Arial" w:cs="Arial"/>
          <w:sz w:val="24"/>
          <w:szCs w:val="24"/>
          <w:lang w:val="es-AR"/>
        </w:rPr>
        <w:t>. Se trata en definitiva, de la necesidad de una interpretación en términos de sistema jurídico, en lo que hiciera hincapié</w:t>
      </w:r>
      <w:r>
        <w:rPr>
          <w:rFonts w:ascii="Arial" w:hAnsi="Arial" w:cs="Arial"/>
          <w:sz w:val="24"/>
          <w:szCs w:val="24"/>
          <w:lang w:val="es-MX"/>
        </w:rPr>
        <w:t xml:space="preserve"> la Dra. </w:t>
      </w:r>
      <w:proofErr w:type="spellStart"/>
      <w:r>
        <w:rPr>
          <w:rFonts w:ascii="Arial" w:hAnsi="Arial" w:cs="Arial"/>
          <w:sz w:val="24"/>
          <w:szCs w:val="24"/>
          <w:lang w:val="es-MX"/>
        </w:rPr>
        <w:t>Kemelmajer</w:t>
      </w:r>
      <w:proofErr w:type="spellEnd"/>
      <w:r>
        <w:rPr>
          <w:rFonts w:ascii="Arial" w:hAnsi="Arial" w:cs="Arial"/>
          <w:sz w:val="24"/>
          <w:szCs w:val="24"/>
          <w:lang w:val="es-MX"/>
        </w:rPr>
        <w:t xml:space="preserve"> de </w:t>
      </w:r>
      <w:proofErr w:type="spellStart"/>
      <w:r>
        <w:rPr>
          <w:rFonts w:ascii="Arial" w:hAnsi="Arial" w:cs="Arial"/>
          <w:sz w:val="24"/>
          <w:szCs w:val="24"/>
          <w:lang w:val="es-MX"/>
        </w:rPr>
        <w:t>Carlucci</w:t>
      </w:r>
      <w:proofErr w:type="spellEnd"/>
      <w:r>
        <w:rPr>
          <w:rFonts w:ascii="Arial" w:hAnsi="Arial" w:cs="Arial"/>
          <w:sz w:val="24"/>
          <w:szCs w:val="24"/>
          <w:lang w:val="es-MX"/>
        </w:rPr>
        <w:t xml:space="preserve"> en los albores de la entrada en vigencia del Código Civil y Comercial de la Nación unificado.</w:t>
      </w:r>
      <w:r>
        <w:rPr>
          <w:rStyle w:val="Refdenotaalpie"/>
          <w:rFonts w:ascii="Arial" w:hAnsi="Arial" w:cs="Arial"/>
          <w:sz w:val="24"/>
          <w:szCs w:val="24"/>
          <w:lang w:val="es-MX"/>
        </w:rPr>
        <w:footnoteReference w:id="10"/>
      </w:r>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MX"/>
        </w:rPr>
        <w:t xml:space="preserve">Puntualmente, en el fallo “Acevedo” expresé que </w:t>
      </w:r>
      <w:r>
        <w:rPr>
          <w:rFonts w:ascii="Arial" w:hAnsi="Arial" w:cs="Arial"/>
          <w:sz w:val="24"/>
          <w:szCs w:val="24"/>
          <w:lang w:val="es-AR"/>
        </w:rPr>
        <w:t>hacer alusión a una interpretación “armónica” de los derechos contenidos en el  texto constitucional, só</w:t>
      </w:r>
      <w:r w:rsidRPr="004245A3">
        <w:rPr>
          <w:rFonts w:ascii="Arial" w:hAnsi="Arial" w:cs="Arial"/>
          <w:sz w:val="24"/>
          <w:szCs w:val="24"/>
          <w:lang w:val="es-AR"/>
        </w:rPr>
        <w:t>lo puede ser traducida en</w:t>
      </w:r>
      <w:r>
        <w:rPr>
          <w:rFonts w:ascii="Arial" w:hAnsi="Arial" w:cs="Arial"/>
          <w:sz w:val="24"/>
          <w:szCs w:val="24"/>
          <w:lang w:val="es-AR"/>
        </w:rPr>
        <w:t xml:space="preserve"> la</w:t>
      </w:r>
      <w:r w:rsidRPr="004245A3">
        <w:rPr>
          <w:rFonts w:ascii="Arial" w:hAnsi="Arial" w:cs="Arial"/>
          <w:sz w:val="24"/>
          <w:szCs w:val="24"/>
          <w:lang w:val="es-AR"/>
        </w:rPr>
        <w:t xml:space="preserve"> “jerarquía”</w:t>
      </w:r>
      <w:r>
        <w:rPr>
          <w:rFonts w:ascii="Arial" w:hAnsi="Arial" w:cs="Arial"/>
          <w:sz w:val="24"/>
          <w:szCs w:val="24"/>
          <w:lang w:val="es-AR"/>
        </w:rPr>
        <w:t xml:space="preserve"> de valores impuesta por la Constitución Nacional, lo que consecuentemente se traduce en una jerarquía de las normas jurídicas, que debe ser respetada por el intérprete.</w:t>
      </w:r>
    </w:p>
    <w:p w:rsidR="00601100"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rPr>
      </w:pPr>
      <w:r w:rsidRPr="00D62E3C">
        <w:rPr>
          <w:rFonts w:ascii="Arial" w:hAnsi="Arial" w:cs="Arial"/>
          <w:sz w:val="24"/>
          <w:szCs w:val="24"/>
          <w:lang w:val="es-AR"/>
        </w:rPr>
        <w:t xml:space="preserve">Repárese que la Corte, </w:t>
      </w:r>
      <w:proofErr w:type="spellStart"/>
      <w:r w:rsidRPr="00D62E3C">
        <w:rPr>
          <w:rFonts w:ascii="Arial" w:hAnsi="Arial" w:cs="Arial"/>
          <w:sz w:val="24"/>
          <w:szCs w:val="24"/>
          <w:lang w:val="es-AR"/>
        </w:rPr>
        <w:t>aún</w:t>
      </w:r>
      <w:proofErr w:type="spellEnd"/>
      <w:r w:rsidRPr="00D62E3C">
        <w:rPr>
          <w:rFonts w:ascii="Arial" w:hAnsi="Arial" w:cs="Arial"/>
          <w:sz w:val="24"/>
          <w:szCs w:val="24"/>
          <w:lang w:val="es-AR"/>
        </w:rPr>
        <w:t xml:space="preserve"> cuando en “Ángel Estrada” no lo haya mencionado, implícitamente alude al artículo 28 de la CN. En efecto, dicha norma establece: "</w:t>
      </w:r>
      <w:r w:rsidRPr="00D62E3C">
        <w:rPr>
          <w:rFonts w:ascii="Arial" w:hAnsi="Arial" w:cs="Arial"/>
          <w:sz w:val="24"/>
          <w:szCs w:val="24"/>
        </w:rPr>
        <w:t xml:space="preserve">Los principios, garantías y derechos reconocidos en los anteriores artículos, </w:t>
      </w:r>
      <w:r w:rsidRPr="00D62E3C">
        <w:rPr>
          <w:rFonts w:ascii="Arial" w:hAnsi="Arial" w:cs="Arial"/>
          <w:b/>
          <w:sz w:val="24"/>
          <w:szCs w:val="24"/>
        </w:rPr>
        <w:t>no podrán ser alterados</w:t>
      </w:r>
      <w:r w:rsidRPr="00D62E3C">
        <w:rPr>
          <w:rFonts w:ascii="Arial" w:hAnsi="Arial" w:cs="Arial"/>
          <w:sz w:val="24"/>
          <w:szCs w:val="24"/>
        </w:rPr>
        <w:t xml:space="preserve"> por las leyes que reglamenten su ejercicio." </w:t>
      </w:r>
    </w:p>
    <w:p w:rsidR="00601100" w:rsidRPr="00D62E3C"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sidRPr="00D62E3C">
        <w:rPr>
          <w:rFonts w:ascii="Arial" w:hAnsi="Arial" w:cs="Arial"/>
          <w:sz w:val="24"/>
          <w:szCs w:val="24"/>
        </w:rPr>
        <w:t xml:space="preserve">Es decir, la norma sustantiva (la que establece a qué se tiene derecho), no puede ser alterada ni en su contenido ni en su vinculación jerárquica con el resto de normas sustantivas, por la norma adjetiva (la que prevé cómo habrá de hacerse efectivo el derecho sustantivo). </w:t>
      </w:r>
    </w:p>
    <w:p w:rsidR="00601100" w:rsidRPr="00D62E3C"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sidRPr="00D62E3C">
        <w:rPr>
          <w:rFonts w:ascii="Arial" w:hAnsi="Arial" w:cs="Arial"/>
          <w:sz w:val="24"/>
          <w:szCs w:val="24"/>
        </w:rPr>
        <w:t>Luego, en ninguno de los niveles de adjetivación (poderes legislativo, ejecutivo y judicial), es posible alterar el sentido, ni el orden jerárquico, puesto que el propio sistema a través de los principios, establece cómo resolver ante la duda.</w:t>
      </w:r>
    </w:p>
    <w:p w:rsidR="00601100" w:rsidRPr="00D62E3C" w:rsidRDefault="00601100" w:rsidP="00601100">
      <w:pPr>
        <w:ind w:firstLine="1134"/>
        <w:jc w:val="both"/>
        <w:rPr>
          <w:rFonts w:ascii="Arial" w:hAnsi="Arial" w:cs="Arial"/>
          <w:sz w:val="24"/>
          <w:szCs w:val="24"/>
        </w:rPr>
      </w:pPr>
      <w:r w:rsidRPr="00D62E3C">
        <w:rPr>
          <w:rFonts w:ascii="Arial" w:hAnsi="Arial" w:cs="Arial"/>
          <w:sz w:val="24"/>
          <w:szCs w:val="24"/>
        </w:rPr>
        <w:t xml:space="preserve"> </w:t>
      </w:r>
    </w:p>
    <w:p w:rsidR="00601100" w:rsidRDefault="00601100" w:rsidP="00601100">
      <w:pPr>
        <w:ind w:firstLine="1134"/>
        <w:jc w:val="both"/>
        <w:rPr>
          <w:rFonts w:ascii="Arial" w:hAnsi="Arial" w:cs="Arial"/>
          <w:sz w:val="24"/>
          <w:szCs w:val="24"/>
        </w:rPr>
      </w:pPr>
      <w:r w:rsidRPr="00D62E3C">
        <w:rPr>
          <w:rFonts w:ascii="Arial" w:hAnsi="Arial" w:cs="Arial"/>
          <w:sz w:val="24"/>
          <w:szCs w:val="24"/>
        </w:rPr>
        <w:t xml:space="preserve">He aquí un rol central de los principios jurídicos, que establecen para quien lo dudara, cuál es el orden correcto en la escala de normas sustantivas, que no hace más que reflejar la vigencia de una determinada jerarquía de valores. De allí, que los principios tengan carácter sustantivo y sean una suerte de </w:t>
      </w:r>
      <w:proofErr w:type="spellStart"/>
      <w:r w:rsidRPr="00D62E3C">
        <w:rPr>
          <w:rFonts w:ascii="Arial" w:hAnsi="Arial" w:cs="Arial"/>
          <w:sz w:val="24"/>
          <w:szCs w:val="24"/>
        </w:rPr>
        <w:t>super</w:t>
      </w:r>
      <w:proofErr w:type="spellEnd"/>
      <w:r w:rsidRPr="00D62E3C">
        <w:rPr>
          <w:rFonts w:ascii="Arial" w:hAnsi="Arial" w:cs="Arial"/>
          <w:sz w:val="24"/>
          <w:szCs w:val="24"/>
        </w:rPr>
        <w:t xml:space="preserve"> norma, a la que se recurre también en caso  de duda.</w:t>
      </w:r>
    </w:p>
    <w:p w:rsidR="00601100" w:rsidRPr="00D62E3C"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sidRPr="00D62E3C">
        <w:rPr>
          <w:rFonts w:ascii="Arial" w:hAnsi="Arial" w:cs="Arial"/>
          <w:sz w:val="24"/>
          <w:szCs w:val="24"/>
        </w:rPr>
        <w:t xml:space="preserve">Es decir, no se puede alterar por vía de interpretación, ni la jerarquía, ni el contenido de las normas sustantivas. Como tampoco puede afectárselas en ninguno de ambos sentidos, mediante la creación de norma adjetiva (leyes, decretos, reglamentos, </w:t>
      </w:r>
      <w:proofErr w:type="spellStart"/>
      <w:r w:rsidRPr="00D62E3C">
        <w:rPr>
          <w:rFonts w:ascii="Arial" w:hAnsi="Arial" w:cs="Arial"/>
          <w:sz w:val="24"/>
          <w:szCs w:val="24"/>
        </w:rPr>
        <w:t>etc</w:t>
      </w:r>
      <w:proofErr w:type="spellEnd"/>
      <w:r w:rsidRPr="00D62E3C">
        <w:rPr>
          <w:rFonts w:ascii="Arial" w:hAnsi="Arial" w:cs="Arial"/>
          <w:sz w:val="24"/>
          <w:szCs w:val="24"/>
        </w:rPr>
        <w:t>).</w:t>
      </w:r>
    </w:p>
    <w:p w:rsidR="00601100"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sidRPr="00D62E3C">
        <w:rPr>
          <w:rFonts w:ascii="Arial" w:hAnsi="Arial" w:cs="Arial"/>
          <w:sz w:val="24"/>
          <w:szCs w:val="24"/>
        </w:rPr>
        <w:t xml:space="preserve">De allí que, toda norma de forma o adjetiva debe reglamentar los derechos constitucionales sustantivos </w:t>
      </w:r>
      <w:r w:rsidRPr="009C39A2">
        <w:rPr>
          <w:rFonts w:ascii="Arial" w:hAnsi="Arial" w:cs="Arial"/>
          <w:sz w:val="24"/>
          <w:szCs w:val="24"/>
        </w:rPr>
        <w:t>según</w:t>
      </w:r>
      <w:r>
        <w:rPr>
          <w:rFonts w:ascii="Arial" w:hAnsi="Arial" w:cs="Arial"/>
          <w:sz w:val="24"/>
          <w:szCs w:val="24"/>
        </w:rPr>
        <w:t>,</w:t>
      </w:r>
      <w:r w:rsidRPr="009C39A2">
        <w:rPr>
          <w:rFonts w:ascii="Arial" w:hAnsi="Arial" w:cs="Arial"/>
          <w:sz w:val="24"/>
          <w:szCs w:val="24"/>
        </w:rPr>
        <w:t xml:space="preserve"> la jerarquía que el propio sistema ha establecido a través de los principios normativos.</w:t>
      </w:r>
      <w:r w:rsidRPr="009C39A2">
        <w:rPr>
          <w:rFonts w:ascii="Arial" w:hAnsi="Arial" w:cs="Arial"/>
          <w:sz w:val="24"/>
          <w:szCs w:val="24"/>
          <w:vertAlign w:val="superscript"/>
        </w:rPr>
        <w:footnoteReference w:id="11"/>
      </w:r>
      <w:r>
        <w:rPr>
          <w:rFonts w:ascii="Arial" w:hAnsi="Arial" w:cs="Arial"/>
          <w:sz w:val="24"/>
          <w:szCs w:val="24"/>
        </w:rPr>
        <w:t xml:space="preserve"> Esto mismo sucede con las normas de </w:t>
      </w:r>
      <w:r w:rsidRPr="00D62E3C">
        <w:rPr>
          <w:rFonts w:ascii="Arial" w:hAnsi="Arial" w:cs="Arial"/>
          <w:sz w:val="24"/>
          <w:szCs w:val="24"/>
        </w:rPr>
        <w:t>forma</w:t>
      </w:r>
      <w:r>
        <w:rPr>
          <w:rFonts w:ascii="Arial" w:hAnsi="Arial" w:cs="Arial"/>
          <w:sz w:val="24"/>
          <w:szCs w:val="24"/>
        </w:rPr>
        <w:t xml:space="preserve"> de rango constitucional -</w:t>
      </w:r>
      <w:proofErr w:type="spellStart"/>
      <w:r w:rsidRPr="00D62E3C">
        <w:rPr>
          <w:rFonts w:ascii="Arial" w:hAnsi="Arial" w:cs="Arial"/>
          <w:sz w:val="24"/>
          <w:szCs w:val="24"/>
        </w:rPr>
        <w:t>vgr</w:t>
      </w:r>
      <w:proofErr w:type="spellEnd"/>
      <w:r w:rsidRPr="00D62E3C">
        <w:rPr>
          <w:rFonts w:ascii="Arial" w:hAnsi="Arial" w:cs="Arial"/>
          <w:sz w:val="24"/>
          <w:szCs w:val="24"/>
        </w:rPr>
        <w:t>.</w:t>
      </w:r>
      <w:r w:rsidR="002E37D5">
        <w:rPr>
          <w:rFonts w:ascii="Arial" w:hAnsi="Arial" w:cs="Arial"/>
          <w:sz w:val="24"/>
          <w:szCs w:val="24"/>
        </w:rPr>
        <w:t xml:space="preserve"> la</w:t>
      </w:r>
      <w:r w:rsidRPr="00D62E3C">
        <w:rPr>
          <w:rFonts w:ascii="Arial" w:hAnsi="Arial" w:cs="Arial"/>
          <w:sz w:val="24"/>
          <w:szCs w:val="24"/>
        </w:rPr>
        <w:t xml:space="preserve"> división de poderes, </w:t>
      </w:r>
      <w:r w:rsidR="002E37D5">
        <w:rPr>
          <w:rFonts w:ascii="Arial" w:hAnsi="Arial" w:cs="Arial"/>
          <w:sz w:val="24"/>
          <w:szCs w:val="24"/>
        </w:rPr>
        <w:t xml:space="preserve">la </w:t>
      </w:r>
      <w:r w:rsidRPr="00D62E3C">
        <w:rPr>
          <w:rFonts w:ascii="Arial" w:hAnsi="Arial" w:cs="Arial"/>
          <w:sz w:val="24"/>
          <w:szCs w:val="24"/>
        </w:rPr>
        <w:t>forma de gobierno, etc.</w:t>
      </w:r>
      <w:r>
        <w:rPr>
          <w:rFonts w:ascii="Arial" w:hAnsi="Arial" w:cs="Arial"/>
          <w:sz w:val="24"/>
          <w:szCs w:val="24"/>
        </w:rPr>
        <w:t>- q</w:t>
      </w:r>
      <w:r w:rsidRPr="00D62E3C">
        <w:rPr>
          <w:rFonts w:ascii="Arial" w:hAnsi="Arial" w:cs="Arial"/>
          <w:sz w:val="24"/>
          <w:szCs w:val="24"/>
        </w:rPr>
        <w:t>ue son</w:t>
      </w:r>
      <w:r>
        <w:rPr>
          <w:rFonts w:ascii="Arial" w:hAnsi="Arial" w:cs="Arial"/>
          <w:sz w:val="24"/>
          <w:szCs w:val="24"/>
        </w:rPr>
        <w:t>,</w:t>
      </w:r>
      <w:r w:rsidRPr="00D62E3C">
        <w:rPr>
          <w:rFonts w:ascii="Arial" w:hAnsi="Arial" w:cs="Arial"/>
          <w:sz w:val="24"/>
          <w:szCs w:val="24"/>
        </w:rPr>
        <w:t xml:space="preserve"> p</w:t>
      </w:r>
      <w:r>
        <w:rPr>
          <w:rFonts w:ascii="Arial" w:hAnsi="Arial" w:cs="Arial"/>
          <w:sz w:val="24"/>
          <w:szCs w:val="24"/>
        </w:rPr>
        <w:t>recisamente, la “reglamentación”</w:t>
      </w:r>
      <w:r w:rsidRPr="00D62E3C">
        <w:rPr>
          <w:rFonts w:ascii="Arial" w:hAnsi="Arial" w:cs="Arial"/>
          <w:sz w:val="24"/>
          <w:szCs w:val="24"/>
        </w:rPr>
        <w:t xml:space="preserve"> con la que el </w:t>
      </w:r>
      <w:r w:rsidRPr="004B3845">
        <w:rPr>
          <w:rFonts w:ascii="Arial" w:hAnsi="Arial" w:cs="Arial"/>
          <w:b/>
          <w:sz w:val="24"/>
          <w:szCs w:val="24"/>
        </w:rPr>
        <w:t>constituyente</w:t>
      </w:r>
      <w:r w:rsidRPr="00D62E3C">
        <w:rPr>
          <w:rFonts w:ascii="Arial" w:hAnsi="Arial" w:cs="Arial"/>
          <w:sz w:val="24"/>
          <w:szCs w:val="24"/>
        </w:rPr>
        <w:t xml:space="preserve"> procura preservar el paquete de norma</w:t>
      </w:r>
      <w:r>
        <w:rPr>
          <w:rFonts w:ascii="Arial" w:hAnsi="Arial" w:cs="Arial"/>
          <w:sz w:val="24"/>
          <w:szCs w:val="24"/>
        </w:rPr>
        <w:t>s</w:t>
      </w:r>
      <w:r w:rsidRPr="00D62E3C">
        <w:rPr>
          <w:rFonts w:ascii="Arial" w:hAnsi="Arial" w:cs="Arial"/>
          <w:sz w:val="24"/>
          <w:szCs w:val="24"/>
        </w:rPr>
        <w:t xml:space="preserve"> sustantiva</w:t>
      </w:r>
      <w:r>
        <w:rPr>
          <w:rFonts w:ascii="Arial" w:hAnsi="Arial" w:cs="Arial"/>
          <w:sz w:val="24"/>
          <w:szCs w:val="24"/>
        </w:rPr>
        <w:t>s.</w:t>
      </w:r>
    </w:p>
    <w:p w:rsidR="00601100" w:rsidRPr="00120F87" w:rsidRDefault="00601100" w:rsidP="00601100">
      <w:pPr>
        <w:ind w:firstLine="1134"/>
        <w:jc w:val="both"/>
        <w:rPr>
          <w:rFonts w:ascii="Arial" w:hAnsi="Arial" w:cs="Arial"/>
          <w:sz w:val="24"/>
          <w:szCs w:val="24"/>
        </w:rPr>
      </w:pPr>
      <w:r w:rsidRPr="00D62E3C">
        <w:rPr>
          <w:rFonts w:ascii="Arial" w:hAnsi="Arial" w:cs="Arial"/>
          <w:sz w:val="24"/>
          <w:szCs w:val="24"/>
        </w:rPr>
        <w:t xml:space="preserve"> </w:t>
      </w:r>
    </w:p>
    <w:p w:rsidR="00601100" w:rsidRPr="00120F87" w:rsidRDefault="00601100" w:rsidP="00601100">
      <w:pPr>
        <w:ind w:firstLine="1134"/>
        <w:jc w:val="both"/>
        <w:rPr>
          <w:rFonts w:ascii="Arial" w:hAnsi="Arial" w:cs="Arial"/>
          <w:sz w:val="24"/>
          <w:szCs w:val="24"/>
          <w:lang w:val="es-MX"/>
        </w:rPr>
      </w:pPr>
      <w:r w:rsidRPr="00120F87">
        <w:rPr>
          <w:rFonts w:ascii="Arial" w:hAnsi="Arial" w:cs="Arial"/>
          <w:sz w:val="24"/>
          <w:szCs w:val="24"/>
        </w:rPr>
        <w:t>En nuestros días, y desde 1.994 el paradigma vigente es el de los Derecho</w:t>
      </w:r>
      <w:r>
        <w:rPr>
          <w:rFonts w:ascii="Arial" w:hAnsi="Arial" w:cs="Arial"/>
          <w:sz w:val="24"/>
          <w:szCs w:val="24"/>
        </w:rPr>
        <w:t>s Humanos Fundamentales, el que</w:t>
      </w:r>
      <w:r w:rsidRPr="00120F87">
        <w:rPr>
          <w:rFonts w:ascii="Arial" w:hAnsi="Arial" w:cs="Arial"/>
          <w:sz w:val="24"/>
          <w:szCs w:val="24"/>
        </w:rPr>
        <w:t xml:space="preserve"> nos obliga a jerarquizar</w:t>
      </w:r>
      <w:r w:rsidRPr="00120F87">
        <w:rPr>
          <w:rFonts w:ascii="Arial" w:hAnsi="Arial" w:cs="Arial"/>
          <w:sz w:val="24"/>
          <w:szCs w:val="24"/>
          <w:vertAlign w:val="superscript"/>
        </w:rPr>
        <w:footnoteReference w:id="12"/>
      </w:r>
      <w:r w:rsidRPr="00120F87">
        <w:rPr>
          <w:rFonts w:ascii="Arial" w:hAnsi="Arial" w:cs="Arial"/>
          <w:sz w:val="24"/>
          <w:szCs w:val="24"/>
        </w:rPr>
        <w:t xml:space="preserve"> los derechos en </w:t>
      </w:r>
      <w:r w:rsidRPr="00120F87">
        <w:rPr>
          <w:rFonts w:ascii="Arial" w:hAnsi="Arial" w:cs="Arial"/>
          <w:sz w:val="24"/>
          <w:szCs w:val="24"/>
          <w:lang w:val="es-MX"/>
        </w:rPr>
        <w:t xml:space="preserve">el juego entablado entre tres principios centrales: 1) El del </w:t>
      </w:r>
      <w:r w:rsidRPr="00120F87">
        <w:rPr>
          <w:rFonts w:ascii="Arial" w:hAnsi="Arial" w:cs="Arial"/>
          <w:sz w:val="24"/>
          <w:szCs w:val="24"/>
          <w:lang w:val="es-MX"/>
        </w:rPr>
        <w:lastRenderedPageBreak/>
        <w:t>debido proceso, que implica la existencia de</w:t>
      </w:r>
      <w:r>
        <w:rPr>
          <w:rFonts w:ascii="Arial" w:hAnsi="Arial" w:cs="Arial"/>
          <w:sz w:val="24"/>
          <w:szCs w:val="24"/>
          <w:lang w:val="es-MX"/>
        </w:rPr>
        <w:t xml:space="preserve"> un juez natural, </w:t>
      </w:r>
      <w:r w:rsidRPr="00120F87">
        <w:rPr>
          <w:rFonts w:ascii="Arial" w:hAnsi="Arial" w:cs="Arial"/>
          <w:sz w:val="24"/>
          <w:szCs w:val="24"/>
          <w:lang w:val="es-MX"/>
        </w:rPr>
        <w:t xml:space="preserve">2) el pro </w:t>
      </w:r>
      <w:proofErr w:type="spellStart"/>
      <w:r w:rsidRPr="00120F87">
        <w:rPr>
          <w:rFonts w:ascii="Arial" w:hAnsi="Arial" w:cs="Arial"/>
          <w:sz w:val="24"/>
          <w:szCs w:val="24"/>
          <w:lang w:val="es-MX"/>
        </w:rPr>
        <w:t>homine</w:t>
      </w:r>
      <w:proofErr w:type="spellEnd"/>
      <w:r w:rsidRPr="00120F87">
        <w:rPr>
          <w:rFonts w:ascii="Arial" w:hAnsi="Arial" w:cs="Arial"/>
          <w:sz w:val="24"/>
          <w:szCs w:val="24"/>
          <w:lang w:val="es-MX"/>
        </w:rPr>
        <w:t xml:space="preserve"> y su necesaria consecuencia, 3) el principio de progresividad.</w:t>
      </w:r>
      <w:r>
        <w:rPr>
          <w:rStyle w:val="Refdenotaalpie"/>
          <w:rFonts w:ascii="Arial" w:hAnsi="Arial" w:cs="Arial"/>
          <w:sz w:val="24"/>
          <w:szCs w:val="24"/>
          <w:lang w:val="es-MX"/>
        </w:rPr>
        <w:footnoteReference w:id="13"/>
      </w:r>
      <w:r w:rsidRPr="00120F87">
        <w:rPr>
          <w:rFonts w:ascii="Arial" w:hAnsi="Arial" w:cs="Arial"/>
          <w:sz w:val="24"/>
          <w:szCs w:val="24"/>
          <w:lang w:val="es-MX"/>
        </w:rPr>
        <w:t xml:space="preserve"> </w:t>
      </w:r>
    </w:p>
    <w:p w:rsidR="00601100" w:rsidRPr="007605A0" w:rsidRDefault="00601100" w:rsidP="00601100">
      <w:pPr>
        <w:ind w:firstLine="1134"/>
        <w:jc w:val="both"/>
        <w:rPr>
          <w:rFonts w:ascii="Arial" w:hAnsi="Arial" w:cs="Arial"/>
          <w:sz w:val="24"/>
          <w:szCs w:val="24"/>
          <w:lang w:val="es-AR"/>
        </w:rPr>
      </w:pPr>
      <w:r w:rsidRPr="007605A0">
        <w:rPr>
          <w:rFonts w:ascii="Arial" w:hAnsi="Arial" w:cs="Arial"/>
          <w:sz w:val="24"/>
          <w:szCs w:val="24"/>
          <w:lang w:val="es-AR"/>
        </w:rPr>
        <w:t>Con lo cual, si se albergasen dudas (porque de hecho, no todos los jueces han concluido del mismo modo), lo que habrá de zanjar la disputa interpretativa</w:t>
      </w:r>
      <w:r>
        <w:rPr>
          <w:rFonts w:ascii="Arial" w:hAnsi="Arial" w:cs="Arial"/>
          <w:sz w:val="24"/>
          <w:szCs w:val="24"/>
          <w:lang w:val="es-AR"/>
        </w:rPr>
        <w:t>,</w:t>
      </w:r>
      <w:r w:rsidRPr="007605A0">
        <w:rPr>
          <w:rFonts w:ascii="Arial" w:hAnsi="Arial" w:cs="Arial"/>
          <w:sz w:val="24"/>
          <w:szCs w:val="24"/>
          <w:lang w:val="es-AR"/>
        </w:rPr>
        <w:t xml:space="preserve"> ha de ser el obligado control de convencionalidad (ver CSJN, in re “Rodríguez Pereyra, Jorge Luis y otro c/Ejército Argentino s/daños y perjuicios”, del 27/11/12).</w:t>
      </w:r>
    </w:p>
    <w:p w:rsidR="00601100" w:rsidRPr="007605A0" w:rsidRDefault="00601100" w:rsidP="00601100">
      <w:pPr>
        <w:ind w:firstLine="1134"/>
        <w:jc w:val="both"/>
        <w:rPr>
          <w:rFonts w:ascii="Arial" w:hAnsi="Arial" w:cs="Arial"/>
          <w:sz w:val="24"/>
          <w:szCs w:val="24"/>
          <w:lang w:val="es-AR"/>
        </w:rPr>
      </w:pPr>
      <w:r w:rsidRPr="007605A0">
        <w:rPr>
          <w:rFonts w:ascii="Arial" w:hAnsi="Arial" w:cs="Arial"/>
          <w:sz w:val="24"/>
          <w:szCs w:val="24"/>
          <w:lang w:val="es-AR"/>
        </w:rPr>
        <w:t> </w:t>
      </w:r>
    </w:p>
    <w:p w:rsidR="00601100" w:rsidRPr="007605A0" w:rsidRDefault="00601100" w:rsidP="00601100">
      <w:pPr>
        <w:ind w:firstLine="1134"/>
        <w:jc w:val="both"/>
        <w:rPr>
          <w:rFonts w:ascii="Arial" w:hAnsi="Arial" w:cs="Arial"/>
          <w:sz w:val="24"/>
          <w:szCs w:val="24"/>
          <w:lang w:val="es-AR"/>
        </w:rPr>
      </w:pPr>
      <w:r w:rsidRPr="007605A0">
        <w:rPr>
          <w:rFonts w:ascii="Arial" w:hAnsi="Arial" w:cs="Arial"/>
          <w:sz w:val="24"/>
          <w:szCs w:val="24"/>
          <w:lang w:val="es-AR"/>
        </w:rPr>
        <w:t xml:space="preserve">Puntualmente,  </w:t>
      </w:r>
      <w:r>
        <w:rPr>
          <w:rFonts w:ascii="Arial" w:hAnsi="Arial" w:cs="Arial"/>
          <w:sz w:val="24"/>
          <w:szCs w:val="24"/>
          <w:lang w:val="es-AR"/>
        </w:rPr>
        <w:t>la CSJN</w:t>
      </w:r>
      <w:r w:rsidRPr="007605A0">
        <w:rPr>
          <w:rFonts w:ascii="Arial" w:hAnsi="Arial" w:cs="Arial"/>
          <w:sz w:val="24"/>
          <w:szCs w:val="24"/>
          <w:lang w:val="es-AR"/>
        </w:rPr>
        <w:t xml:space="preserve"> nos ha dicho  en “Álvarez, Maximiliano y otro c/ </w:t>
      </w:r>
      <w:proofErr w:type="spellStart"/>
      <w:r w:rsidRPr="007605A0">
        <w:rPr>
          <w:rFonts w:ascii="Arial" w:hAnsi="Arial" w:cs="Arial"/>
          <w:sz w:val="24"/>
          <w:szCs w:val="24"/>
          <w:lang w:val="es-AR"/>
        </w:rPr>
        <w:t>Cencosud</w:t>
      </w:r>
      <w:proofErr w:type="spellEnd"/>
      <w:r w:rsidRPr="007605A0">
        <w:rPr>
          <w:rFonts w:ascii="Arial" w:hAnsi="Arial" w:cs="Arial"/>
          <w:sz w:val="24"/>
          <w:szCs w:val="24"/>
          <w:lang w:val="es-AR"/>
        </w:rPr>
        <w:t xml:space="preserve"> S.A. s/ acción de amparo”, A. 1023, XLIII, que “el decidido impulso hacia la progresividad en la plena efectividad de los derechos humanos que reconocen, propia de todos los textos internacionales antes aludidos y muy especialmente del PIDESC (art.2,1), sumado al principio pro </w:t>
      </w:r>
      <w:proofErr w:type="spellStart"/>
      <w:r w:rsidRPr="007605A0">
        <w:rPr>
          <w:rFonts w:ascii="Arial" w:hAnsi="Arial" w:cs="Arial"/>
          <w:sz w:val="24"/>
          <w:szCs w:val="24"/>
          <w:lang w:val="es-AR"/>
        </w:rPr>
        <w:t>homine</w:t>
      </w:r>
      <w:proofErr w:type="spellEnd"/>
      <w:r w:rsidRPr="007605A0">
        <w:rPr>
          <w:rFonts w:ascii="Arial" w:hAnsi="Arial" w:cs="Arial"/>
          <w:sz w:val="24"/>
          <w:szCs w:val="24"/>
          <w:lang w:val="es-AR"/>
        </w:rPr>
        <w:t xml:space="preserve">, connatural con estos documentos, determina que el intérprete deba escoger, si la norma lo posibilita, el resultado que proteja en mayor medida a la persona humana (Cardozo, Fallos 329:2265, 2272/2273, y </w:t>
      </w:r>
      <w:proofErr w:type="spellStart"/>
      <w:r w:rsidRPr="007605A0">
        <w:rPr>
          <w:rFonts w:ascii="Arial" w:hAnsi="Arial" w:cs="Arial"/>
          <w:sz w:val="24"/>
          <w:szCs w:val="24"/>
          <w:lang w:val="es-AR"/>
        </w:rPr>
        <w:t>Madorran</w:t>
      </w:r>
      <w:proofErr w:type="spellEnd"/>
      <w:r w:rsidRPr="007605A0">
        <w:rPr>
          <w:rFonts w:ascii="Arial" w:hAnsi="Arial" w:cs="Arial"/>
          <w:sz w:val="24"/>
          <w:szCs w:val="24"/>
          <w:lang w:val="es-AR"/>
        </w:rPr>
        <w:t xml:space="preserve">, cit. p 2004). Y esta pauta se impone aún con mayor intensidad, cuando su aplicación no entrañe </w:t>
      </w:r>
      <w:r w:rsidRPr="007605A0">
        <w:rPr>
          <w:rFonts w:ascii="Arial" w:hAnsi="Arial" w:cs="Arial"/>
          <w:sz w:val="24"/>
          <w:szCs w:val="24"/>
          <w:lang w:val="es-AR"/>
        </w:rPr>
        <w:lastRenderedPageBreak/>
        <w:t>colisión alguna del derecho humano, así interpretado, con otros valores, principios, atribuciones o derechos constitucionales (</w:t>
      </w:r>
      <w:proofErr w:type="spellStart"/>
      <w:r w:rsidRPr="007605A0">
        <w:rPr>
          <w:rFonts w:ascii="Arial" w:hAnsi="Arial" w:cs="Arial"/>
          <w:sz w:val="24"/>
          <w:szCs w:val="24"/>
          <w:lang w:val="es-AR"/>
        </w:rPr>
        <w:t>Madorran</w:t>
      </w:r>
      <w:proofErr w:type="spellEnd"/>
      <w:r w:rsidRPr="007605A0">
        <w:rPr>
          <w:rFonts w:ascii="Arial" w:hAnsi="Arial" w:cs="Arial"/>
          <w:sz w:val="24"/>
          <w:szCs w:val="24"/>
          <w:lang w:val="es-AR"/>
        </w:rPr>
        <w:t xml:space="preserve">, cit. p. 2004). Ya en el precedente </w:t>
      </w:r>
      <w:proofErr w:type="spellStart"/>
      <w:r w:rsidRPr="007605A0">
        <w:rPr>
          <w:rFonts w:ascii="Arial" w:hAnsi="Arial" w:cs="Arial"/>
          <w:sz w:val="24"/>
          <w:szCs w:val="24"/>
          <w:lang w:val="es-AR"/>
        </w:rPr>
        <w:t>Berçaitz</w:t>
      </w:r>
      <w:proofErr w:type="spellEnd"/>
      <w:r w:rsidRPr="007605A0">
        <w:rPr>
          <w:rFonts w:ascii="Arial" w:hAnsi="Arial" w:cs="Arial"/>
          <w:sz w:val="24"/>
          <w:szCs w:val="24"/>
          <w:lang w:val="es-AR"/>
        </w:rPr>
        <w:t>, de 1974, tuvo oportunidad de censurar toda inteligencia restrictiva de los derechos humanos, puesto que contrariaba la jurisprudencia de la Corte, “concordante con la doctrina universal”; el “principio de favorabilidad” (Fallos: 289:430, 437; asimismo; Fallos: 293:26,27).</w:t>
      </w:r>
    </w:p>
    <w:p w:rsidR="00601100" w:rsidRPr="007605A0"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MX"/>
        </w:rPr>
      </w:pPr>
      <w:r w:rsidRPr="00120F87">
        <w:rPr>
          <w:rFonts w:ascii="Arial" w:hAnsi="Arial" w:cs="Arial"/>
          <w:sz w:val="24"/>
          <w:szCs w:val="24"/>
          <w:lang w:val="es-MX"/>
        </w:rPr>
        <w:t>Vale resaltar que en la reciente unificación en el Código Civil y Comercial de la Nación -vigente desde el 1° de agosto de 2015-,</w:t>
      </w:r>
      <w:r>
        <w:rPr>
          <w:rFonts w:ascii="Arial" w:hAnsi="Arial" w:cs="Arial"/>
          <w:sz w:val="24"/>
          <w:szCs w:val="24"/>
          <w:lang w:val="es-MX"/>
        </w:rPr>
        <w:t xml:space="preserve"> </w:t>
      </w:r>
      <w:r w:rsidRPr="00120F87">
        <w:rPr>
          <w:rFonts w:ascii="Arial" w:hAnsi="Arial" w:cs="Arial"/>
          <w:sz w:val="24"/>
          <w:szCs w:val="24"/>
          <w:lang w:val="es-MX"/>
        </w:rPr>
        <w:t>el legislador entendió necesario -</w:t>
      </w:r>
      <w:proofErr w:type="spellStart"/>
      <w:r w:rsidRPr="00120F87">
        <w:rPr>
          <w:rFonts w:ascii="Arial" w:hAnsi="Arial" w:cs="Arial"/>
          <w:sz w:val="24"/>
          <w:szCs w:val="24"/>
          <w:lang w:val="es-MX"/>
        </w:rPr>
        <w:t>aún</w:t>
      </w:r>
      <w:proofErr w:type="spellEnd"/>
      <w:r w:rsidRPr="00120F87">
        <w:rPr>
          <w:rFonts w:ascii="Arial" w:hAnsi="Arial" w:cs="Arial"/>
          <w:sz w:val="24"/>
          <w:szCs w:val="24"/>
          <w:lang w:val="es-MX"/>
        </w:rPr>
        <w:t xml:space="preserve"> cuando podría interpretarse como redundante- establecer preliminarmente que los tratados de derechos humanos son fuente de derecho y pautas de interpretación de nuestro sistema j</w:t>
      </w:r>
      <w:r w:rsidR="00A40CFE">
        <w:rPr>
          <w:rFonts w:ascii="Arial" w:hAnsi="Arial" w:cs="Arial"/>
          <w:sz w:val="24"/>
          <w:szCs w:val="24"/>
          <w:lang w:val="es-MX"/>
        </w:rPr>
        <w:t>urídico (Artículos 1 y 2 del CC</w:t>
      </w:r>
      <w:r w:rsidRPr="00120F87">
        <w:rPr>
          <w:rFonts w:ascii="Arial" w:hAnsi="Arial" w:cs="Arial"/>
          <w:sz w:val="24"/>
          <w:szCs w:val="24"/>
          <w:lang w:val="es-MX"/>
        </w:rPr>
        <w:t>CN)</w:t>
      </w:r>
      <w:r w:rsidRPr="00120F87">
        <w:rPr>
          <w:rFonts w:ascii="Arial" w:hAnsi="Arial" w:cs="Arial"/>
          <w:sz w:val="24"/>
          <w:szCs w:val="24"/>
          <w:vertAlign w:val="superscript"/>
          <w:lang w:val="es-MX"/>
        </w:rPr>
        <w:footnoteReference w:id="14"/>
      </w:r>
      <w:r w:rsidRPr="00120F87">
        <w:rPr>
          <w:rFonts w:ascii="Arial" w:hAnsi="Arial" w:cs="Arial"/>
          <w:sz w:val="24"/>
          <w:szCs w:val="24"/>
          <w:lang w:val="es-MX"/>
        </w:rPr>
        <w:t xml:space="preserve">.   </w:t>
      </w:r>
    </w:p>
    <w:p w:rsidR="00601100" w:rsidRPr="0052313D"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AR"/>
        </w:rPr>
        <w:t>Entonces,</w:t>
      </w:r>
      <w:r w:rsidRPr="00120F87">
        <w:rPr>
          <w:rFonts w:ascii="Arial" w:hAnsi="Arial" w:cs="Arial"/>
          <w:sz w:val="24"/>
          <w:szCs w:val="24"/>
          <w:lang w:val="es-AR"/>
        </w:rPr>
        <w:t xml:space="preserve"> </w:t>
      </w:r>
      <w:r>
        <w:rPr>
          <w:rFonts w:ascii="Arial" w:hAnsi="Arial" w:cs="Arial"/>
          <w:sz w:val="24"/>
          <w:szCs w:val="24"/>
          <w:lang w:val="es-AR"/>
        </w:rPr>
        <w:t xml:space="preserve">como premisa básica </w:t>
      </w:r>
      <w:r w:rsidRPr="00120F87">
        <w:rPr>
          <w:rFonts w:ascii="Arial" w:hAnsi="Arial" w:cs="Arial"/>
          <w:sz w:val="24"/>
          <w:szCs w:val="24"/>
          <w:lang w:val="es-AR"/>
        </w:rPr>
        <w:t>las normas adjetivas no pueden contradecir la finalidad del par</w:t>
      </w:r>
      <w:r>
        <w:rPr>
          <w:rFonts w:ascii="Arial" w:hAnsi="Arial" w:cs="Arial"/>
          <w:sz w:val="24"/>
          <w:szCs w:val="24"/>
          <w:lang w:val="es-AR"/>
        </w:rPr>
        <w:t>adigma constitucional vigente,</w:t>
      </w:r>
      <w:r w:rsidRPr="00120F87">
        <w:rPr>
          <w:rFonts w:ascii="Arial" w:hAnsi="Arial" w:cs="Arial"/>
          <w:sz w:val="24"/>
          <w:szCs w:val="24"/>
          <w:lang w:val="es-AR"/>
        </w:rPr>
        <w:t xml:space="preserve"> </w:t>
      </w:r>
      <w:r>
        <w:rPr>
          <w:rFonts w:ascii="Arial" w:hAnsi="Arial" w:cs="Arial"/>
          <w:sz w:val="24"/>
          <w:szCs w:val="24"/>
          <w:lang w:val="es-AR"/>
        </w:rPr>
        <w:t xml:space="preserve">de lo contrario, </w:t>
      </w:r>
      <w:r w:rsidRPr="00120F87">
        <w:rPr>
          <w:rFonts w:ascii="Arial" w:hAnsi="Arial" w:cs="Arial"/>
          <w:sz w:val="24"/>
          <w:szCs w:val="24"/>
          <w:lang w:val="es-AR"/>
        </w:rPr>
        <w:t xml:space="preserve">el remedio </w:t>
      </w:r>
      <w:r>
        <w:rPr>
          <w:rFonts w:ascii="Arial" w:hAnsi="Arial" w:cs="Arial"/>
          <w:sz w:val="24"/>
          <w:szCs w:val="24"/>
          <w:lang w:val="es-AR"/>
        </w:rPr>
        <w:t>será la inconstitucionalidad de su regulación.</w:t>
      </w:r>
    </w:p>
    <w:p w:rsidR="00601100" w:rsidRPr="00A11633" w:rsidRDefault="00601100" w:rsidP="00601100">
      <w:pPr>
        <w:ind w:firstLine="1134"/>
        <w:jc w:val="both"/>
        <w:rPr>
          <w:rFonts w:ascii="Arial" w:hAnsi="Arial" w:cs="Arial"/>
          <w:sz w:val="24"/>
          <w:szCs w:val="24"/>
          <w:lang w:val="es-AR"/>
        </w:rPr>
      </w:pPr>
      <w:r>
        <w:rPr>
          <w:rFonts w:ascii="Arial" w:hAnsi="Arial" w:cs="Arial"/>
          <w:sz w:val="24"/>
          <w:szCs w:val="24"/>
          <w:lang w:val="es-AR"/>
        </w:rPr>
        <w:t xml:space="preserve">            </w:t>
      </w:r>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Establecida la estructura normativa e interpretativa (también normada, obligatoria por ende, que es lo que se pretende ignorar), cabe reflexionar si la misma podría funcionar adecuadamente en cualquier modelo jurídico, lo que nos lleva una vez más a distinguir el sistema continental del de </w:t>
      </w:r>
      <w:proofErr w:type="spellStart"/>
      <w:r>
        <w:rPr>
          <w:rFonts w:ascii="Arial" w:hAnsi="Arial" w:cs="Arial"/>
          <w:i/>
          <w:sz w:val="24"/>
          <w:szCs w:val="24"/>
          <w:lang w:val="es-MX"/>
        </w:rPr>
        <w:t>common</w:t>
      </w:r>
      <w:proofErr w:type="spellEnd"/>
      <w:r>
        <w:rPr>
          <w:rFonts w:ascii="Arial" w:hAnsi="Arial" w:cs="Arial"/>
          <w:i/>
          <w:sz w:val="24"/>
          <w:szCs w:val="24"/>
          <w:lang w:val="es-MX"/>
        </w:rPr>
        <w:t xml:space="preserve"> </w:t>
      </w:r>
      <w:proofErr w:type="spellStart"/>
      <w:r>
        <w:rPr>
          <w:rFonts w:ascii="Arial" w:hAnsi="Arial" w:cs="Arial"/>
          <w:i/>
          <w:sz w:val="24"/>
          <w:szCs w:val="24"/>
          <w:lang w:val="es-MX"/>
        </w:rPr>
        <w:t>l</w:t>
      </w:r>
      <w:r w:rsidRPr="00361DE9">
        <w:rPr>
          <w:rFonts w:ascii="Arial" w:hAnsi="Arial" w:cs="Arial"/>
          <w:i/>
          <w:sz w:val="24"/>
          <w:szCs w:val="24"/>
          <w:lang w:val="es-MX"/>
        </w:rPr>
        <w:t>aw</w:t>
      </w:r>
      <w:proofErr w:type="spellEnd"/>
      <w:r>
        <w:rPr>
          <w:rFonts w:ascii="Arial" w:hAnsi="Arial" w:cs="Arial"/>
          <w:sz w:val="24"/>
          <w:szCs w:val="24"/>
          <w:lang w:val="es-MX"/>
        </w:rPr>
        <w:t>. Distingo que consideró basal como fundamento general.</w:t>
      </w: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Justamente, encontramos que este análisis en Ángel Estrada es preliminar y no ha sido debidamente advertido en el uso que se hace de este precedente. Porque, valga la </w:t>
      </w:r>
      <w:proofErr w:type="spellStart"/>
      <w:r>
        <w:rPr>
          <w:rFonts w:ascii="Arial" w:hAnsi="Arial" w:cs="Arial"/>
          <w:sz w:val="24"/>
          <w:szCs w:val="24"/>
          <w:lang w:val="es-MX"/>
        </w:rPr>
        <w:t>redundacia</w:t>
      </w:r>
      <w:proofErr w:type="spellEnd"/>
      <w:r>
        <w:rPr>
          <w:rFonts w:ascii="Arial" w:hAnsi="Arial" w:cs="Arial"/>
          <w:sz w:val="24"/>
          <w:szCs w:val="24"/>
          <w:lang w:val="es-MX"/>
        </w:rPr>
        <w:t>, para el uso que se realiza en Ángel Estrada de los precedentes de la Corte de los EEUU (lo que analizaremos debidamente), primero se tienen en cuenta los modelos jurídicos, a fin de no extrapolar lo que no corresponde técnicamente por su incompatibilidad.</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Así, la Corte destaca de nuestro texto constitucional los artículos 18 y 109, agregando que este último está basado en el artículo 108 de la Constitución de Chile. Este no es un dato menor.</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En efecto, estableciendo su génesis definió que el sistema argentino, a diferencia del norteamericano, se inclinó por un modelo </w:t>
      </w:r>
      <w:proofErr w:type="spellStart"/>
      <w:r>
        <w:rPr>
          <w:rFonts w:ascii="Arial" w:hAnsi="Arial" w:cs="Arial"/>
          <w:sz w:val="24"/>
          <w:szCs w:val="24"/>
          <w:lang w:val="es-MX"/>
        </w:rPr>
        <w:t>judicialista</w:t>
      </w:r>
      <w:proofErr w:type="spellEnd"/>
      <w:r>
        <w:rPr>
          <w:rFonts w:ascii="Arial" w:hAnsi="Arial" w:cs="Arial"/>
          <w:sz w:val="24"/>
          <w:szCs w:val="24"/>
          <w:lang w:val="es-MX"/>
        </w:rPr>
        <w:t xml:space="preserve"> en el marco de la división de poderes. Esta discusión, justamente, parte las aguas entre los doctrinarios administrativistas.</w:t>
      </w:r>
    </w:p>
    <w:p w:rsidR="00601100" w:rsidRDefault="00601100" w:rsidP="00601100">
      <w:pPr>
        <w:ind w:firstLine="1134"/>
        <w:jc w:val="both"/>
        <w:rPr>
          <w:rFonts w:ascii="Arial" w:hAnsi="Arial" w:cs="Arial"/>
          <w:sz w:val="24"/>
          <w:szCs w:val="24"/>
          <w:lang w:val="es-MX"/>
        </w:rPr>
      </w:pPr>
    </w:p>
    <w:p w:rsidR="00601100" w:rsidRPr="00A616A1" w:rsidRDefault="00601100" w:rsidP="00601100">
      <w:pPr>
        <w:ind w:firstLine="1134"/>
        <w:jc w:val="both"/>
        <w:rPr>
          <w:rFonts w:ascii="Arial" w:hAnsi="Arial" w:cs="Arial"/>
          <w:sz w:val="24"/>
          <w:szCs w:val="24"/>
          <w:lang w:val="es-AR"/>
        </w:rPr>
      </w:pPr>
      <w:r>
        <w:rPr>
          <w:rFonts w:ascii="Arial" w:hAnsi="Arial" w:cs="Arial"/>
          <w:sz w:val="24"/>
          <w:szCs w:val="24"/>
          <w:lang w:val="es-MX"/>
        </w:rPr>
        <w:t xml:space="preserve">Para reafirmar lo expresado por la CSJN en este precedente, nada mejor que evocar las palabras del propio </w:t>
      </w:r>
      <w:r w:rsidRPr="00A616A1">
        <w:rPr>
          <w:rFonts w:ascii="Arial" w:hAnsi="Arial" w:cs="Arial"/>
          <w:sz w:val="24"/>
          <w:szCs w:val="24"/>
          <w:lang w:val="es-MX"/>
        </w:rPr>
        <w:t>Juan Bautista Albe</w:t>
      </w:r>
      <w:r>
        <w:rPr>
          <w:rFonts w:ascii="Arial" w:hAnsi="Arial" w:cs="Arial"/>
          <w:sz w:val="24"/>
          <w:szCs w:val="24"/>
          <w:lang w:val="es-MX"/>
        </w:rPr>
        <w:t xml:space="preserve">rdi, rememoradas por el </w:t>
      </w:r>
      <w:r w:rsidRPr="00A616A1">
        <w:rPr>
          <w:rFonts w:ascii="Arial" w:hAnsi="Arial" w:cs="Arial"/>
          <w:sz w:val="24"/>
          <w:szCs w:val="24"/>
          <w:lang w:val="es-MX"/>
        </w:rPr>
        <w:t>administrat</w:t>
      </w:r>
      <w:r>
        <w:rPr>
          <w:rFonts w:ascii="Arial" w:hAnsi="Arial" w:cs="Arial"/>
          <w:sz w:val="24"/>
          <w:szCs w:val="24"/>
          <w:lang w:val="es-MX"/>
        </w:rPr>
        <w:t xml:space="preserve">ivista Juan Carlos </w:t>
      </w:r>
      <w:proofErr w:type="spellStart"/>
      <w:r>
        <w:rPr>
          <w:rFonts w:ascii="Arial" w:hAnsi="Arial" w:cs="Arial"/>
          <w:sz w:val="24"/>
          <w:szCs w:val="24"/>
          <w:lang w:val="es-MX"/>
        </w:rPr>
        <w:t>Cassagne</w:t>
      </w:r>
      <w:proofErr w:type="spellEnd"/>
      <w:r>
        <w:rPr>
          <w:rFonts w:ascii="Arial" w:hAnsi="Arial" w:cs="Arial"/>
          <w:sz w:val="24"/>
          <w:szCs w:val="24"/>
          <w:lang w:val="es-MX"/>
        </w:rPr>
        <w:t>, quien</w:t>
      </w:r>
      <w:r w:rsidRPr="00A616A1">
        <w:rPr>
          <w:rFonts w:ascii="Arial" w:hAnsi="Arial" w:cs="Arial"/>
          <w:sz w:val="24"/>
          <w:szCs w:val="24"/>
          <w:lang w:val="es-MX"/>
        </w:rPr>
        <w:t xml:space="preserve"> al comparar nuestro sistema con el de los Estados Unidos, expresó: “decir </w:t>
      </w:r>
      <w:r w:rsidRPr="00A616A1">
        <w:rPr>
          <w:rFonts w:ascii="Arial" w:hAnsi="Arial" w:cs="Arial"/>
          <w:sz w:val="24"/>
          <w:szCs w:val="24"/>
          <w:lang w:val="es-AR"/>
        </w:rPr>
        <w:t>que son iguales es algo así como confundir un huevo con una castaña</w:t>
      </w:r>
      <w:r w:rsidRPr="00A616A1">
        <w:rPr>
          <w:rFonts w:ascii="Arial" w:hAnsi="Arial" w:cs="Arial"/>
          <w:sz w:val="24"/>
          <w:szCs w:val="24"/>
          <w:lang w:val="es-MX"/>
        </w:rPr>
        <w:t>”</w:t>
      </w:r>
      <w:r>
        <w:rPr>
          <w:rFonts w:ascii="Arial" w:hAnsi="Arial" w:cs="Arial"/>
          <w:sz w:val="24"/>
          <w:szCs w:val="24"/>
          <w:lang w:val="es-MX"/>
        </w:rPr>
        <w:t>.</w:t>
      </w:r>
      <w:r w:rsidRPr="00A616A1">
        <w:rPr>
          <w:rFonts w:ascii="Arial" w:hAnsi="Arial" w:cs="Arial"/>
          <w:sz w:val="24"/>
          <w:szCs w:val="24"/>
          <w:vertAlign w:val="superscript"/>
          <w:lang w:val="es-MX"/>
        </w:rPr>
        <w:footnoteReference w:id="15"/>
      </w:r>
    </w:p>
    <w:p w:rsidR="00601100" w:rsidRPr="00CB3669"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i/>
          <w:sz w:val="22"/>
          <w:szCs w:val="22"/>
          <w:lang w:val="es-AR"/>
        </w:rPr>
      </w:pPr>
      <w:r>
        <w:rPr>
          <w:rFonts w:ascii="Arial" w:hAnsi="Arial" w:cs="Arial"/>
          <w:sz w:val="24"/>
          <w:szCs w:val="24"/>
          <w:lang w:val="es-MX"/>
        </w:rPr>
        <w:lastRenderedPageBreak/>
        <w:t xml:space="preserve">En consonancia, el administrativista destacó, aludiendo a </w:t>
      </w:r>
      <w:r w:rsidRPr="00A616A1">
        <w:rPr>
          <w:rFonts w:ascii="Arial" w:hAnsi="Arial" w:cs="Arial"/>
          <w:sz w:val="24"/>
          <w:szCs w:val="24"/>
          <w:lang w:val="es-MX"/>
        </w:rPr>
        <w:t>la visión del propio Alberdi</w:t>
      </w:r>
      <w:r w:rsidRPr="00A616A1">
        <w:rPr>
          <w:rFonts w:ascii="Arial" w:hAnsi="Arial" w:cs="Arial"/>
          <w:sz w:val="24"/>
          <w:szCs w:val="24"/>
          <w:vertAlign w:val="superscript"/>
          <w:lang w:val="es-MX"/>
        </w:rPr>
        <w:footnoteReference w:id="16"/>
      </w:r>
      <w:r>
        <w:rPr>
          <w:rFonts w:ascii="Arial" w:hAnsi="Arial" w:cs="Arial"/>
          <w:sz w:val="24"/>
          <w:szCs w:val="24"/>
          <w:lang w:val="es-MX"/>
        </w:rPr>
        <w:t>, que</w:t>
      </w:r>
      <w:r w:rsidRPr="00A616A1">
        <w:rPr>
          <w:rFonts w:ascii="Arial" w:hAnsi="Arial" w:cs="Arial"/>
          <w:sz w:val="24"/>
          <w:szCs w:val="24"/>
          <w:lang w:val="es-MX"/>
        </w:rPr>
        <w:t xml:space="preserve">: </w:t>
      </w:r>
      <w:r w:rsidRPr="000370AB">
        <w:rPr>
          <w:rFonts w:ascii="Arial" w:hAnsi="Arial" w:cs="Arial"/>
          <w:sz w:val="22"/>
          <w:szCs w:val="22"/>
          <w:lang w:val="es-MX"/>
        </w:rPr>
        <w:t>“</w:t>
      </w:r>
      <w:r w:rsidRPr="000370AB">
        <w:rPr>
          <w:rFonts w:ascii="Arial" w:hAnsi="Arial" w:cs="Arial"/>
          <w:i/>
          <w:sz w:val="22"/>
          <w:szCs w:val="22"/>
          <w:lang w:val="es-AR"/>
        </w:rPr>
        <w:t xml:space="preserve">la búsqueda de las bases y puntos de partida nos lleva, a su vez, a desentrañar algunos equívocos que han ido deslizándose, sostenidos incluso por prestigiosos autores, en torno a las fuentes de nuestro derecho público, los orígenes de la justicia administrativa, la evolución del sistema norteamericano (basado hoy día en un sistema de jurisdicción administrativa con control judicial posterior, generalmente concentrado en las Cortes de Circuito, que son tribunales colegiados) y las bases constitucionales de nuestro sistema </w:t>
      </w:r>
      <w:proofErr w:type="spellStart"/>
      <w:r w:rsidRPr="000370AB">
        <w:rPr>
          <w:rFonts w:ascii="Arial" w:hAnsi="Arial" w:cs="Arial"/>
          <w:i/>
          <w:sz w:val="22"/>
          <w:szCs w:val="22"/>
          <w:lang w:val="es-AR"/>
        </w:rPr>
        <w:t>judicialista</w:t>
      </w:r>
      <w:proofErr w:type="spellEnd"/>
      <w:r w:rsidRPr="000370AB">
        <w:rPr>
          <w:rFonts w:ascii="Arial" w:hAnsi="Arial" w:cs="Arial"/>
          <w:i/>
          <w:sz w:val="22"/>
          <w:szCs w:val="22"/>
          <w:lang w:val="es-AR"/>
        </w:rPr>
        <w:t xml:space="preserve">." </w:t>
      </w:r>
    </w:p>
    <w:p w:rsidR="00601100" w:rsidRPr="000370AB" w:rsidRDefault="00601100" w:rsidP="00601100">
      <w:pPr>
        <w:ind w:firstLine="1134"/>
        <w:jc w:val="both"/>
        <w:rPr>
          <w:rFonts w:ascii="Arial" w:hAnsi="Arial" w:cs="Arial"/>
          <w:i/>
          <w:sz w:val="22"/>
          <w:szCs w:val="22"/>
          <w:lang w:val="es-AR"/>
        </w:rPr>
      </w:pPr>
    </w:p>
    <w:p w:rsidR="00601100" w:rsidRDefault="00601100" w:rsidP="00601100">
      <w:pPr>
        <w:ind w:firstLine="1134"/>
        <w:jc w:val="both"/>
        <w:rPr>
          <w:rFonts w:ascii="Arial" w:hAnsi="Arial" w:cs="Arial"/>
          <w:sz w:val="22"/>
          <w:szCs w:val="22"/>
          <w:lang w:val="es-AR"/>
        </w:rPr>
      </w:pPr>
      <w:r w:rsidRPr="000370AB">
        <w:rPr>
          <w:rFonts w:ascii="Arial" w:hAnsi="Arial" w:cs="Arial"/>
          <w:i/>
          <w:sz w:val="22"/>
          <w:szCs w:val="22"/>
          <w:lang w:val="es-AR"/>
        </w:rPr>
        <w:t xml:space="preserve">“Una visión sumaria acerca de las fuentes del derecho público argentino muestra que el modelo norteamericano constituyó una de las bases sobre las que se edificó nuestra Constitución, particularmente en cuanto a la forma de gobierno federal adoptada por los constituyentes de 1853. </w:t>
      </w:r>
      <w:r w:rsidRPr="000370AB">
        <w:rPr>
          <w:rFonts w:ascii="Arial" w:hAnsi="Arial" w:cs="Arial"/>
          <w:b/>
          <w:i/>
          <w:sz w:val="22"/>
          <w:szCs w:val="22"/>
          <w:lang w:val="es-AR"/>
        </w:rPr>
        <w:t>De allí algunos autores han pretendido extraer la conclusión de que las instituciones de nuestro derecho procesal deben adaptarse a dicho modelo y a su evolución jurisprudencial, consecuencia que extienden para sostener la inconstitucionalidad o constitucionalidad, según el caso, de determinadas instituciones o características del proceso</w:t>
      </w:r>
      <w:r w:rsidRPr="000370AB">
        <w:rPr>
          <w:rFonts w:ascii="Arial" w:hAnsi="Arial" w:cs="Arial"/>
          <w:i/>
          <w:sz w:val="22"/>
          <w:szCs w:val="22"/>
          <w:lang w:val="es-AR"/>
        </w:rPr>
        <w:t xml:space="preserve"> (</w:t>
      </w:r>
      <w:proofErr w:type="spellStart"/>
      <w:r w:rsidRPr="000370AB">
        <w:rPr>
          <w:rFonts w:ascii="Arial" w:hAnsi="Arial" w:cs="Arial"/>
          <w:i/>
          <w:sz w:val="22"/>
          <w:szCs w:val="22"/>
          <w:lang w:val="es-AR"/>
        </w:rPr>
        <w:t>vgr</w:t>
      </w:r>
      <w:proofErr w:type="spellEnd"/>
      <w:r w:rsidRPr="000370AB">
        <w:rPr>
          <w:rFonts w:ascii="Arial" w:hAnsi="Arial" w:cs="Arial"/>
          <w:i/>
          <w:sz w:val="22"/>
          <w:szCs w:val="22"/>
          <w:lang w:val="es-AR"/>
        </w:rPr>
        <w:t xml:space="preserve">. efectos </w:t>
      </w:r>
      <w:r w:rsidRPr="000370AB">
        <w:rPr>
          <w:rFonts w:ascii="Arial" w:hAnsi="Arial" w:cs="Arial"/>
          <w:i/>
          <w:iCs/>
          <w:sz w:val="22"/>
          <w:szCs w:val="22"/>
          <w:lang w:val="es-AR"/>
        </w:rPr>
        <w:t xml:space="preserve">erga omnes </w:t>
      </w:r>
      <w:r w:rsidRPr="000370AB">
        <w:rPr>
          <w:rFonts w:ascii="Arial" w:hAnsi="Arial" w:cs="Arial"/>
          <w:i/>
          <w:sz w:val="22"/>
          <w:szCs w:val="22"/>
          <w:lang w:val="es-AR"/>
        </w:rPr>
        <w:t>de la anulación de reglamentos)</w:t>
      </w:r>
      <w:r w:rsidRPr="000370AB">
        <w:rPr>
          <w:rFonts w:ascii="Arial" w:hAnsi="Arial" w:cs="Arial"/>
          <w:b/>
          <w:bCs/>
          <w:i/>
          <w:sz w:val="22"/>
          <w:szCs w:val="22"/>
          <w:lang w:val="es-AR"/>
        </w:rPr>
        <w:t xml:space="preserve"> (…)</w:t>
      </w:r>
      <w:r w:rsidRPr="000370AB">
        <w:rPr>
          <w:rFonts w:ascii="Arial" w:hAnsi="Arial" w:cs="Arial"/>
          <w:i/>
          <w:sz w:val="22"/>
          <w:szCs w:val="22"/>
          <w:lang w:val="es-AR"/>
        </w:rPr>
        <w:t xml:space="preserve">esa conclusión reposa en la creencia errónea, originada en Sarmiento y en la opinión del convencional </w:t>
      </w:r>
      <w:proofErr w:type="spellStart"/>
      <w:r w:rsidRPr="000370AB">
        <w:rPr>
          <w:rFonts w:ascii="Arial" w:hAnsi="Arial" w:cs="Arial"/>
          <w:i/>
          <w:sz w:val="22"/>
          <w:szCs w:val="22"/>
          <w:lang w:val="es-AR"/>
        </w:rPr>
        <w:t>Gorostiaga</w:t>
      </w:r>
      <w:proofErr w:type="spellEnd"/>
      <w:r w:rsidRPr="000370AB">
        <w:rPr>
          <w:rFonts w:ascii="Arial" w:hAnsi="Arial" w:cs="Arial"/>
          <w:i/>
          <w:sz w:val="22"/>
          <w:szCs w:val="22"/>
          <w:lang w:val="es-AR"/>
        </w:rPr>
        <w:t xml:space="preserve">, en el sentido que nuestra Constitución constituye un calco o copia de la norteamericana. De allí, algunos autores han deducido, en forma puramente dogmática y sin tener en cuenta los estudios históricos y doctrinarios efectuados sobre las fuentes constitucionales de nuestra ley suprema que desmienten esa tesis que, en realidad, fue sólo una simplificación realizada con fines didácticos o políticos (en el caso de Sarmiento). (…)Hay que advertir que la circunstancia de que el Derecho Administrativo argentino, en sus principales construcciones legales, doctrinarias y jurisprudenciales, no haya mantenido una total fidelidad al modelo norteamericano no implica contradicción alguna, tuvieron a la vista los convencionales para interpretarla y aclarar los errores que se vienen repitiendo en algunos sectores del Derecho Público argentino.(…)Con una frase que no admite dudas acerca de la filiación de su proyecto que, en gran parte, sirvió de base para la Constitución de 1853, Alberdi nos advierte en dichos </w:t>
      </w:r>
      <w:r w:rsidRPr="000370AB">
        <w:rPr>
          <w:rFonts w:ascii="Arial" w:hAnsi="Arial" w:cs="Arial"/>
          <w:i/>
          <w:iCs/>
          <w:sz w:val="22"/>
          <w:szCs w:val="22"/>
          <w:lang w:val="es-AR"/>
        </w:rPr>
        <w:t xml:space="preserve">Estudios </w:t>
      </w:r>
      <w:r w:rsidRPr="000370AB">
        <w:rPr>
          <w:rFonts w:ascii="Arial" w:hAnsi="Arial" w:cs="Arial"/>
          <w:i/>
          <w:sz w:val="22"/>
          <w:szCs w:val="22"/>
          <w:lang w:val="es-AR"/>
        </w:rPr>
        <w:t>que: “</w:t>
      </w:r>
      <w:r w:rsidRPr="000370AB">
        <w:rPr>
          <w:rFonts w:ascii="Arial" w:hAnsi="Arial" w:cs="Arial"/>
          <w:b/>
          <w:i/>
          <w:sz w:val="22"/>
          <w:szCs w:val="22"/>
          <w:lang w:val="es-AR"/>
        </w:rPr>
        <w:t>todo es diferente en las dos Constituciones argentina y americana respecto a la organización del gobierno, por más que la forma federal que les es común las asemeje al ojo inatento y superficial</w:t>
      </w:r>
      <w:r w:rsidRPr="000370AB">
        <w:rPr>
          <w:rFonts w:ascii="Arial" w:hAnsi="Arial" w:cs="Arial"/>
          <w:i/>
          <w:sz w:val="22"/>
          <w:szCs w:val="22"/>
          <w:lang w:val="es-AR"/>
        </w:rPr>
        <w:t>. (…)En efecto, el examen atento de las fuentes y preceptos de la Constitución revela que son varios los aspectos de interés para el desarrollo del Derecho Público en los que el apartamiento del modelo norteamericano resulta ostensible (…)</w:t>
      </w:r>
      <w:r w:rsidRPr="000370AB">
        <w:rPr>
          <w:rFonts w:ascii="Arial" w:hAnsi="Arial" w:cs="Arial"/>
          <w:sz w:val="22"/>
          <w:szCs w:val="22"/>
          <w:lang w:val="es-AR"/>
        </w:rPr>
        <w:t xml:space="preserve"> ALBERDI, quien al refutar tal postura en un trabajo dedicado especialmente al tema titulado </w:t>
      </w:r>
      <w:r w:rsidRPr="000370AB">
        <w:rPr>
          <w:rFonts w:ascii="Arial" w:hAnsi="Arial" w:cs="Arial"/>
          <w:i/>
          <w:iCs/>
          <w:sz w:val="22"/>
          <w:szCs w:val="22"/>
          <w:lang w:val="es-AR"/>
        </w:rPr>
        <w:t>Estudios sobre la Constitución Argentina de 1853</w:t>
      </w:r>
      <w:r w:rsidRPr="000370AB">
        <w:rPr>
          <w:rFonts w:ascii="Arial" w:hAnsi="Arial" w:cs="Arial"/>
          <w:sz w:val="22"/>
          <w:szCs w:val="22"/>
          <w:lang w:val="es-AR"/>
        </w:rPr>
        <w:t>, comienza diciendo nada menos que: “</w:t>
      </w:r>
      <w:r w:rsidRPr="00A5339B">
        <w:rPr>
          <w:rFonts w:ascii="Arial" w:hAnsi="Arial" w:cs="Arial"/>
          <w:b/>
          <w:sz w:val="22"/>
          <w:szCs w:val="22"/>
          <w:lang w:val="es-AR"/>
        </w:rPr>
        <w:t xml:space="preserve">para falsear y bastardear la Constitución Nacional de la República Argentina, no hay sino comentarla con los comentarios de la Constitución de los Estados Unidos (…)."Cuando un sistema recibe el calificativo de </w:t>
      </w:r>
      <w:proofErr w:type="spellStart"/>
      <w:r w:rsidRPr="00A5339B">
        <w:rPr>
          <w:rFonts w:ascii="Arial" w:hAnsi="Arial" w:cs="Arial"/>
          <w:b/>
          <w:sz w:val="22"/>
          <w:szCs w:val="22"/>
          <w:lang w:val="es-AR"/>
        </w:rPr>
        <w:t>judicialista</w:t>
      </w:r>
      <w:proofErr w:type="spellEnd"/>
      <w:r w:rsidRPr="00A5339B">
        <w:rPr>
          <w:rFonts w:ascii="Arial" w:hAnsi="Arial" w:cs="Arial"/>
          <w:b/>
          <w:sz w:val="22"/>
          <w:szCs w:val="22"/>
          <w:lang w:val="es-AR"/>
        </w:rPr>
        <w:t xml:space="preserve"> se da por sobreentendida la circunstancia de que la calificación no se refiere al juzgamiento de las causas entre particulares (justicia civil-comercial o penal), dado que éstas, en los países civilizados donde rige la división de poderes, se ventilan ante jueces, separados orgánicamente de los poderes ejecutivos, que gozan de independencia frente a estos últimos. Lo que caracteriza a cualquier sistema </w:t>
      </w:r>
      <w:proofErr w:type="spellStart"/>
      <w:r w:rsidRPr="00A5339B">
        <w:rPr>
          <w:rFonts w:ascii="Arial" w:hAnsi="Arial" w:cs="Arial"/>
          <w:b/>
          <w:sz w:val="22"/>
          <w:szCs w:val="22"/>
          <w:lang w:val="es-AR"/>
        </w:rPr>
        <w:t>judicialista</w:t>
      </w:r>
      <w:proofErr w:type="spellEnd"/>
      <w:r w:rsidRPr="00A5339B">
        <w:rPr>
          <w:rFonts w:ascii="Arial" w:hAnsi="Arial" w:cs="Arial"/>
          <w:b/>
          <w:sz w:val="22"/>
          <w:szCs w:val="22"/>
          <w:lang w:val="es-AR"/>
        </w:rPr>
        <w:t xml:space="preserve"> es el hecho de atribuir a un poder judicial independiente el conocimiento de </w:t>
      </w:r>
      <w:r w:rsidRPr="00A5339B">
        <w:rPr>
          <w:rFonts w:ascii="Arial" w:hAnsi="Arial" w:cs="Arial"/>
          <w:b/>
          <w:sz w:val="22"/>
          <w:szCs w:val="22"/>
          <w:lang w:val="es-AR"/>
        </w:rPr>
        <w:lastRenderedPageBreak/>
        <w:t>las causas en que el Estado, o los Estados y/o Provincias, según los diferentes modelos constitucionales, son parte en el litigio.</w:t>
      </w:r>
      <w:r>
        <w:rPr>
          <w:rFonts w:ascii="Arial" w:hAnsi="Arial" w:cs="Arial"/>
          <w:sz w:val="22"/>
          <w:szCs w:val="22"/>
          <w:lang w:val="es-AR"/>
        </w:rPr>
        <w:t>”</w:t>
      </w:r>
      <w:r w:rsidRPr="000370AB">
        <w:rPr>
          <w:rFonts w:ascii="Arial" w:hAnsi="Arial" w:cs="Arial"/>
          <w:sz w:val="22"/>
          <w:szCs w:val="22"/>
          <w:lang w:val="es-AR"/>
        </w:rPr>
        <w:t xml:space="preserve"> (El texto resaltado me pertenece).</w:t>
      </w:r>
      <w:r>
        <w:rPr>
          <w:rStyle w:val="Refdenotaalpie"/>
          <w:rFonts w:ascii="Arial" w:hAnsi="Arial" w:cs="Arial"/>
          <w:sz w:val="22"/>
          <w:szCs w:val="22"/>
          <w:lang w:val="es-AR"/>
        </w:rPr>
        <w:footnoteReference w:id="17"/>
      </w:r>
    </w:p>
    <w:p w:rsidR="00601100" w:rsidRPr="00A5339B" w:rsidRDefault="00601100" w:rsidP="00601100">
      <w:pPr>
        <w:ind w:firstLine="1134"/>
        <w:jc w:val="both"/>
        <w:rPr>
          <w:rFonts w:ascii="Arial" w:hAnsi="Arial" w:cs="Arial"/>
          <w:sz w:val="22"/>
          <w:szCs w:val="22"/>
        </w:rPr>
      </w:pPr>
    </w:p>
    <w:p w:rsidR="00601100" w:rsidRPr="00CB3669" w:rsidRDefault="00601100" w:rsidP="00601100">
      <w:pPr>
        <w:ind w:firstLine="1134"/>
        <w:jc w:val="both"/>
        <w:rPr>
          <w:rFonts w:ascii="Arial" w:hAnsi="Arial" w:cs="Arial"/>
          <w:i/>
          <w:iCs/>
          <w:sz w:val="22"/>
          <w:szCs w:val="22"/>
          <w:lang w:val="es-AR"/>
        </w:rPr>
      </w:pPr>
      <w:r w:rsidRPr="00CB3669">
        <w:rPr>
          <w:rFonts w:ascii="Arial" w:hAnsi="Arial" w:cs="Arial"/>
          <w:sz w:val="24"/>
          <w:szCs w:val="24"/>
          <w:lang w:val="es-AR"/>
        </w:rPr>
        <w:t>Asimismo, Tomás Hutchinson afirma en este sentido que</w:t>
      </w:r>
      <w:r w:rsidRPr="00CB3669">
        <w:rPr>
          <w:rFonts w:ascii="Arial" w:hAnsi="Arial" w:cs="Arial"/>
          <w:sz w:val="22"/>
          <w:szCs w:val="22"/>
          <w:lang w:val="es-AR"/>
        </w:rPr>
        <w:t xml:space="preserve">; “nuestro sistema es autóctono, derivado del Derecho Patrio, lo que “se refleja entre otros aspectos, en la cláusula constitucional del artículo 109 (ex 95) sin equivalente en la Constitución estadounidense, donde a diferencia de lo que sucede en nuestro país, la ley puede determinar que la decisión administrativa tenga carácter </w:t>
      </w:r>
      <w:r w:rsidRPr="00CB3669">
        <w:rPr>
          <w:rFonts w:ascii="Arial" w:hAnsi="Arial" w:cs="Arial"/>
          <w:i/>
          <w:iCs/>
          <w:sz w:val="22"/>
          <w:szCs w:val="22"/>
          <w:lang w:val="es-AR"/>
        </w:rPr>
        <w:t>final</w:t>
      </w:r>
      <w:r w:rsidRPr="00CB3669">
        <w:rPr>
          <w:rFonts w:ascii="Arial" w:hAnsi="Arial" w:cs="Arial"/>
          <w:sz w:val="22"/>
          <w:szCs w:val="22"/>
          <w:lang w:val="es-AR"/>
        </w:rPr>
        <w:t xml:space="preserve">. Recordemos la vigencia, en Estados Unidos de (Norte) América, del principio de la </w:t>
      </w:r>
      <w:proofErr w:type="spellStart"/>
      <w:r w:rsidRPr="00CB3669">
        <w:rPr>
          <w:rFonts w:ascii="Arial" w:hAnsi="Arial" w:cs="Arial"/>
          <w:i/>
          <w:iCs/>
          <w:sz w:val="22"/>
          <w:szCs w:val="22"/>
          <w:lang w:val="es-AR"/>
        </w:rPr>
        <w:t>indemandabilidad</w:t>
      </w:r>
      <w:proofErr w:type="spellEnd"/>
      <w:r w:rsidRPr="00CB3669">
        <w:rPr>
          <w:rFonts w:ascii="Arial" w:hAnsi="Arial" w:cs="Arial"/>
          <w:sz w:val="22"/>
          <w:szCs w:val="22"/>
          <w:lang w:val="es-AR"/>
        </w:rPr>
        <w:t xml:space="preserve"> del Estado, que tenía por consecuencia adicional la imposibilidad de responsabilizar al Estado por los hechos de sus agentes, y, como consecuencia adicional, la doctrina de la </w:t>
      </w:r>
      <w:r w:rsidRPr="00CB3669">
        <w:rPr>
          <w:rFonts w:ascii="Arial" w:hAnsi="Arial" w:cs="Arial"/>
          <w:i/>
          <w:iCs/>
          <w:sz w:val="22"/>
          <w:szCs w:val="22"/>
          <w:lang w:val="es-AR"/>
        </w:rPr>
        <w:t>inmunidad soberana</w:t>
      </w:r>
      <w:r w:rsidRPr="00CB3669">
        <w:rPr>
          <w:rFonts w:ascii="Arial" w:hAnsi="Arial" w:cs="Arial"/>
          <w:sz w:val="22"/>
          <w:szCs w:val="22"/>
          <w:lang w:val="es-AR"/>
        </w:rPr>
        <w:t xml:space="preserve">, </w:t>
      </w:r>
      <w:r w:rsidRPr="00CB3669">
        <w:rPr>
          <w:rFonts w:ascii="Arial" w:hAnsi="Arial" w:cs="Arial"/>
          <w:sz w:val="22"/>
          <w:szCs w:val="22"/>
        </w:rPr>
        <w:t xml:space="preserve">de lo que se derivaba la necesidad del consentimiento del Poder Legislativo para demandar al </w:t>
      </w:r>
      <w:r w:rsidRPr="00CB3669">
        <w:rPr>
          <w:rFonts w:ascii="Arial" w:hAnsi="Arial" w:cs="Arial"/>
          <w:sz w:val="22"/>
          <w:szCs w:val="22"/>
          <w:lang w:val="es-AR"/>
        </w:rPr>
        <w:t xml:space="preserve">gobierno federal. Tal doctrina determinó inicialmente que se reconociera el derecho a demandar </w:t>
      </w:r>
      <w:r w:rsidRPr="00CB3669">
        <w:rPr>
          <w:rFonts w:ascii="Arial" w:hAnsi="Arial" w:cs="Arial"/>
          <w:i/>
          <w:iCs/>
          <w:sz w:val="22"/>
          <w:szCs w:val="22"/>
          <w:lang w:val="es-AR"/>
        </w:rPr>
        <w:t>al funcionario</w:t>
      </w:r>
      <w:r w:rsidRPr="00CB3669">
        <w:rPr>
          <w:rFonts w:ascii="Arial" w:hAnsi="Arial" w:cs="Arial"/>
          <w:sz w:val="22"/>
          <w:szCs w:val="22"/>
          <w:lang w:val="es-AR"/>
        </w:rPr>
        <w:t>.</w:t>
      </w:r>
      <w:r w:rsidRPr="00CB3669">
        <w:rPr>
          <w:rFonts w:ascii="Arial" w:hAnsi="Arial" w:cs="Arial"/>
          <w:i/>
          <w:iCs/>
          <w:sz w:val="22"/>
          <w:szCs w:val="22"/>
          <w:lang w:val="es-AR"/>
        </w:rPr>
        <w:t xml:space="preserve"> </w:t>
      </w:r>
      <w:r w:rsidRPr="00CB3669">
        <w:rPr>
          <w:rFonts w:ascii="Arial" w:hAnsi="Arial" w:cs="Arial"/>
          <w:sz w:val="22"/>
          <w:szCs w:val="22"/>
          <w:lang w:val="es-AR"/>
        </w:rPr>
        <w:t xml:space="preserve">Debió aguardarse: a) hasta la creación de la </w:t>
      </w:r>
      <w:proofErr w:type="spellStart"/>
      <w:r w:rsidRPr="00CB3669">
        <w:rPr>
          <w:rFonts w:ascii="Arial" w:hAnsi="Arial" w:cs="Arial"/>
          <w:i/>
          <w:iCs/>
          <w:sz w:val="22"/>
          <w:szCs w:val="22"/>
          <w:lang w:val="es-AR"/>
        </w:rPr>
        <w:t>Court</w:t>
      </w:r>
      <w:proofErr w:type="spellEnd"/>
      <w:r w:rsidRPr="00CB3669">
        <w:rPr>
          <w:rFonts w:ascii="Arial" w:hAnsi="Arial" w:cs="Arial"/>
          <w:i/>
          <w:iCs/>
          <w:sz w:val="22"/>
          <w:szCs w:val="22"/>
          <w:lang w:val="es-AR"/>
        </w:rPr>
        <w:t xml:space="preserve"> of </w:t>
      </w:r>
      <w:proofErr w:type="spellStart"/>
      <w:r w:rsidRPr="00CB3669">
        <w:rPr>
          <w:rFonts w:ascii="Arial" w:hAnsi="Arial" w:cs="Arial"/>
          <w:i/>
          <w:iCs/>
          <w:sz w:val="22"/>
          <w:szCs w:val="22"/>
          <w:lang w:val="es-AR"/>
        </w:rPr>
        <w:t>Claims</w:t>
      </w:r>
      <w:proofErr w:type="spellEnd"/>
      <w:r w:rsidRPr="00CB3669">
        <w:rPr>
          <w:rFonts w:ascii="Arial" w:hAnsi="Arial" w:cs="Arial"/>
          <w:i/>
          <w:iCs/>
          <w:sz w:val="22"/>
          <w:szCs w:val="22"/>
          <w:lang w:val="es-AR"/>
        </w:rPr>
        <w:t xml:space="preserve"> </w:t>
      </w:r>
      <w:r w:rsidRPr="00CB3669">
        <w:rPr>
          <w:rFonts w:ascii="Arial" w:hAnsi="Arial" w:cs="Arial"/>
          <w:sz w:val="22"/>
          <w:szCs w:val="22"/>
          <w:lang w:val="es-AR"/>
        </w:rPr>
        <w:t>para contar con un tribunal, bien que</w:t>
      </w:r>
      <w:r w:rsidRPr="00CB3669">
        <w:rPr>
          <w:rFonts w:ascii="Arial" w:hAnsi="Arial" w:cs="Arial"/>
          <w:i/>
          <w:iCs/>
          <w:sz w:val="22"/>
          <w:szCs w:val="22"/>
          <w:lang w:val="es-AR"/>
        </w:rPr>
        <w:t xml:space="preserve"> </w:t>
      </w:r>
      <w:r w:rsidRPr="00CB3669">
        <w:rPr>
          <w:rFonts w:ascii="Arial" w:hAnsi="Arial" w:cs="Arial"/>
          <w:sz w:val="22"/>
          <w:szCs w:val="22"/>
          <w:lang w:val="es-AR"/>
        </w:rPr>
        <w:t>inicialmente de carácter administrativo, para que los contratistas del Estado pudieran deducir demandas</w:t>
      </w:r>
      <w:r w:rsidRPr="00CB3669">
        <w:rPr>
          <w:rFonts w:ascii="Arial" w:hAnsi="Arial" w:cs="Arial"/>
          <w:i/>
          <w:iCs/>
          <w:sz w:val="22"/>
          <w:szCs w:val="22"/>
          <w:lang w:val="es-AR"/>
        </w:rPr>
        <w:t xml:space="preserve"> </w:t>
      </w:r>
      <w:r w:rsidRPr="00CB3669">
        <w:rPr>
          <w:rFonts w:ascii="Arial" w:hAnsi="Arial" w:cs="Arial"/>
          <w:sz w:val="22"/>
          <w:szCs w:val="22"/>
          <w:lang w:val="es-AR"/>
        </w:rPr>
        <w:t>contra aquél por responsabilidad contractual; b) que se establecieran legislativamente acciones</w:t>
      </w:r>
      <w:r w:rsidRPr="00CB3669">
        <w:rPr>
          <w:rFonts w:ascii="Arial" w:hAnsi="Arial" w:cs="Arial"/>
          <w:i/>
          <w:iCs/>
          <w:sz w:val="22"/>
          <w:szCs w:val="22"/>
          <w:lang w:val="es-AR"/>
        </w:rPr>
        <w:t xml:space="preserve"> </w:t>
      </w:r>
      <w:r w:rsidRPr="00CB3669">
        <w:rPr>
          <w:rFonts w:ascii="Arial" w:hAnsi="Arial" w:cs="Arial"/>
          <w:sz w:val="22"/>
          <w:szCs w:val="22"/>
          <w:lang w:val="es-AR"/>
        </w:rPr>
        <w:t xml:space="preserve">de </w:t>
      </w:r>
      <w:r w:rsidRPr="00CB3669">
        <w:rPr>
          <w:rFonts w:ascii="Arial" w:hAnsi="Arial" w:cs="Arial"/>
          <w:i/>
          <w:iCs/>
          <w:sz w:val="22"/>
          <w:szCs w:val="22"/>
          <w:lang w:val="es-AR"/>
        </w:rPr>
        <w:t xml:space="preserve">judicial </w:t>
      </w:r>
      <w:proofErr w:type="spellStart"/>
      <w:r w:rsidRPr="00CB3669">
        <w:rPr>
          <w:rFonts w:ascii="Arial" w:hAnsi="Arial" w:cs="Arial"/>
          <w:i/>
          <w:iCs/>
          <w:sz w:val="22"/>
          <w:szCs w:val="22"/>
          <w:lang w:val="es-AR"/>
        </w:rPr>
        <w:t>review</w:t>
      </w:r>
      <w:proofErr w:type="spellEnd"/>
      <w:r w:rsidRPr="00CB3669">
        <w:rPr>
          <w:rFonts w:ascii="Arial" w:hAnsi="Arial" w:cs="Arial"/>
          <w:i/>
          <w:iCs/>
          <w:sz w:val="22"/>
          <w:szCs w:val="22"/>
          <w:lang w:val="es-AR"/>
        </w:rPr>
        <w:t xml:space="preserve"> </w:t>
      </w:r>
      <w:r w:rsidRPr="00CB3669">
        <w:rPr>
          <w:rFonts w:ascii="Arial" w:hAnsi="Arial" w:cs="Arial"/>
          <w:sz w:val="22"/>
          <w:szCs w:val="22"/>
          <w:lang w:val="es-AR"/>
        </w:rPr>
        <w:t xml:space="preserve">contra decisiones de </w:t>
      </w:r>
      <w:r w:rsidRPr="00CB3669">
        <w:rPr>
          <w:rFonts w:ascii="Arial" w:hAnsi="Arial" w:cs="Arial"/>
          <w:i/>
          <w:iCs/>
          <w:sz w:val="22"/>
          <w:szCs w:val="22"/>
          <w:lang w:val="es-AR"/>
        </w:rPr>
        <w:t xml:space="preserve">comisiones reguladoras </w:t>
      </w:r>
      <w:r w:rsidRPr="00CB3669">
        <w:rPr>
          <w:rFonts w:ascii="Arial" w:hAnsi="Arial" w:cs="Arial"/>
          <w:sz w:val="22"/>
          <w:szCs w:val="22"/>
          <w:lang w:val="es-AR"/>
        </w:rPr>
        <w:t>independientes; c) que se sancionara</w:t>
      </w:r>
      <w:r w:rsidRPr="00CB3669">
        <w:rPr>
          <w:rFonts w:ascii="Arial" w:hAnsi="Arial" w:cs="Arial"/>
          <w:i/>
          <w:iCs/>
          <w:sz w:val="22"/>
          <w:szCs w:val="22"/>
          <w:lang w:val="es-AR"/>
        </w:rPr>
        <w:t xml:space="preserve"> e</w:t>
      </w:r>
      <w:r w:rsidRPr="00CB3669">
        <w:rPr>
          <w:rFonts w:ascii="Arial" w:hAnsi="Arial" w:cs="Arial"/>
          <w:sz w:val="22"/>
          <w:szCs w:val="22"/>
          <w:lang w:val="es-AR"/>
        </w:rPr>
        <w:t xml:space="preserve">n 1946 la </w:t>
      </w:r>
      <w:proofErr w:type="spellStart"/>
      <w:r w:rsidRPr="00CB3669">
        <w:rPr>
          <w:rFonts w:ascii="Arial" w:hAnsi="Arial" w:cs="Arial"/>
          <w:i/>
          <w:iCs/>
          <w:sz w:val="22"/>
          <w:szCs w:val="22"/>
          <w:lang w:val="es-AR"/>
        </w:rPr>
        <w:t>Administrative</w:t>
      </w:r>
      <w:proofErr w:type="spellEnd"/>
      <w:r w:rsidRPr="00CB3669">
        <w:rPr>
          <w:rFonts w:ascii="Arial" w:hAnsi="Arial" w:cs="Arial"/>
          <w:i/>
          <w:iCs/>
          <w:sz w:val="22"/>
          <w:szCs w:val="22"/>
          <w:lang w:val="es-AR"/>
        </w:rPr>
        <w:t xml:space="preserve"> </w:t>
      </w:r>
      <w:proofErr w:type="spellStart"/>
      <w:r w:rsidRPr="00CB3669">
        <w:rPr>
          <w:rFonts w:ascii="Arial" w:hAnsi="Arial" w:cs="Arial"/>
          <w:i/>
          <w:iCs/>
          <w:sz w:val="22"/>
          <w:szCs w:val="22"/>
          <w:lang w:val="es-AR"/>
        </w:rPr>
        <w:t>Procedure</w:t>
      </w:r>
      <w:proofErr w:type="spellEnd"/>
      <w:r w:rsidRPr="00CB3669">
        <w:rPr>
          <w:rFonts w:ascii="Arial" w:hAnsi="Arial" w:cs="Arial"/>
          <w:i/>
          <w:iCs/>
          <w:sz w:val="22"/>
          <w:szCs w:val="22"/>
          <w:lang w:val="es-AR"/>
        </w:rPr>
        <w:t xml:space="preserve"> </w:t>
      </w:r>
      <w:proofErr w:type="spellStart"/>
      <w:r w:rsidRPr="00CB3669">
        <w:rPr>
          <w:rFonts w:ascii="Arial" w:hAnsi="Arial" w:cs="Arial"/>
          <w:i/>
          <w:iCs/>
          <w:sz w:val="22"/>
          <w:szCs w:val="22"/>
          <w:lang w:val="es-AR"/>
        </w:rPr>
        <w:t>Act</w:t>
      </w:r>
      <w:proofErr w:type="spellEnd"/>
      <w:r w:rsidRPr="00CB3669">
        <w:rPr>
          <w:rFonts w:ascii="Arial" w:hAnsi="Arial" w:cs="Arial"/>
          <w:i/>
          <w:iCs/>
          <w:sz w:val="22"/>
          <w:szCs w:val="22"/>
          <w:lang w:val="es-AR"/>
        </w:rPr>
        <w:t xml:space="preserve"> </w:t>
      </w:r>
      <w:r w:rsidRPr="00CB3669">
        <w:rPr>
          <w:rFonts w:ascii="Arial" w:hAnsi="Arial" w:cs="Arial"/>
          <w:sz w:val="22"/>
          <w:szCs w:val="22"/>
          <w:lang w:val="es-AR"/>
        </w:rPr>
        <w:t>estableciendo con carácter general el derecho a revisión</w:t>
      </w:r>
      <w:r w:rsidRPr="00CB3669">
        <w:rPr>
          <w:rFonts w:ascii="Arial" w:hAnsi="Arial" w:cs="Arial"/>
          <w:i/>
          <w:iCs/>
          <w:sz w:val="22"/>
          <w:szCs w:val="22"/>
          <w:lang w:val="es-AR"/>
        </w:rPr>
        <w:t xml:space="preserve"> </w:t>
      </w:r>
      <w:r w:rsidRPr="00CB3669">
        <w:rPr>
          <w:rFonts w:ascii="Arial" w:hAnsi="Arial" w:cs="Arial"/>
          <w:sz w:val="22"/>
          <w:szCs w:val="22"/>
          <w:lang w:val="es-AR"/>
        </w:rPr>
        <w:t xml:space="preserve">judicial de actos administrativos, y ; d) la sanción, también en 1946, de la </w:t>
      </w:r>
      <w:r w:rsidRPr="00CB3669">
        <w:rPr>
          <w:rFonts w:ascii="Arial" w:hAnsi="Arial" w:cs="Arial"/>
          <w:i/>
          <w:iCs/>
          <w:sz w:val="22"/>
          <w:szCs w:val="22"/>
          <w:lang w:val="es-AR"/>
        </w:rPr>
        <w:t xml:space="preserve">Federal </w:t>
      </w:r>
      <w:proofErr w:type="spellStart"/>
      <w:r w:rsidRPr="00CB3669">
        <w:rPr>
          <w:rFonts w:ascii="Arial" w:hAnsi="Arial" w:cs="Arial"/>
          <w:i/>
          <w:iCs/>
          <w:sz w:val="22"/>
          <w:szCs w:val="22"/>
          <w:lang w:val="es-AR"/>
        </w:rPr>
        <w:t>Tort</w:t>
      </w:r>
      <w:proofErr w:type="spellEnd"/>
      <w:r w:rsidRPr="00CB3669">
        <w:rPr>
          <w:rFonts w:ascii="Arial" w:hAnsi="Arial" w:cs="Arial"/>
          <w:i/>
          <w:iCs/>
          <w:sz w:val="22"/>
          <w:szCs w:val="22"/>
          <w:lang w:val="es-AR"/>
        </w:rPr>
        <w:t xml:space="preserve"> </w:t>
      </w:r>
      <w:proofErr w:type="spellStart"/>
      <w:r w:rsidRPr="00CB3669">
        <w:rPr>
          <w:rFonts w:ascii="Arial" w:hAnsi="Arial" w:cs="Arial"/>
          <w:i/>
          <w:iCs/>
          <w:sz w:val="22"/>
          <w:szCs w:val="22"/>
          <w:lang w:val="es-AR"/>
        </w:rPr>
        <w:t>Claims</w:t>
      </w:r>
      <w:proofErr w:type="spellEnd"/>
      <w:r w:rsidRPr="00CB3669">
        <w:rPr>
          <w:rFonts w:ascii="Arial" w:hAnsi="Arial" w:cs="Arial"/>
          <w:i/>
          <w:iCs/>
          <w:sz w:val="22"/>
          <w:szCs w:val="22"/>
          <w:lang w:val="es-AR"/>
        </w:rPr>
        <w:t xml:space="preserve"> </w:t>
      </w:r>
      <w:proofErr w:type="spellStart"/>
      <w:r w:rsidRPr="00CB3669">
        <w:rPr>
          <w:rFonts w:ascii="Arial" w:hAnsi="Arial" w:cs="Arial"/>
          <w:i/>
          <w:iCs/>
          <w:sz w:val="22"/>
          <w:szCs w:val="22"/>
          <w:lang w:val="es-AR"/>
        </w:rPr>
        <w:t>Act</w:t>
      </w:r>
      <w:proofErr w:type="spellEnd"/>
      <w:r w:rsidRPr="00CB3669">
        <w:rPr>
          <w:rFonts w:ascii="Arial" w:hAnsi="Arial" w:cs="Arial"/>
          <w:sz w:val="22"/>
          <w:szCs w:val="22"/>
          <w:lang w:val="es-AR"/>
        </w:rPr>
        <w:t>, que</w:t>
      </w:r>
      <w:r w:rsidRPr="00CB3669">
        <w:rPr>
          <w:rFonts w:ascii="Arial" w:hAnsi="Arial" w:cs="Arial"/>
          <w:i/>
          <w:iCs/>
          <w:sz w:val="22"/>
          <w:szCs w:val="22"/>
          <w:lang w:val="es-AR"/>
        </w:rPr>
        <w:t xml:space="preserve"> </w:t>
      </w:r>
      <w:r w:rsidRPr="00CB3669">
        <w:rPr>
          <w:rFonts w:ascii="Arial" w:hAnsi="Arial" w:cs="Arial"/>
          <w:sz w:val="22"/>
          <w:szCs w:val="22"/>
          <w:lang w:val="es-AR"/>
        </w:rPr>
        <w:t>hizo posible accionar contra el Estado por daños y perjuicios derivados de actos de sus funcionarios,</w:t>
      </w:r>
      <w:r w:rsidRPr="00CB3669">
        <w:rPr>
          <w:rFonts w:ascii="Arial" w:hAnsi="Arial" w:cs="Arial"/>
          <w:i/>
          <w:iCs/>
          <w:sz w:val="22"/>
          <w:szCs w:val="22"/>
          <w:lang w:val="es-AR"/>
        </w:rPr>
        <w:t xml:space="preserve"> </w:t>
      </w:r>
      <w:r w:rsidRPr="00CB3669">
        <w:rPr>
          <w:rFonts w:ascii="Arial" w:hAnsi="Arial" w:cs="Arial"/>
          <w:sz w:val="22"/>
          <w:szCs w:val="22"/>
          <w:lang w:val="es-AR"/>
        </w:rPr>
        <w:t>para que podamos afirmar la existencia de un auténtico sistema de control jurisdiccional de la Administración.</w:t>
      </w:r>
      <w:r w:rsidRPr="00CB3669">
        <w:rPr>
          <w:rFonts w:ascii="Arial" w:hAnsi="Arial" w:cs="Arial"/>
          <w:i/>
          <w:iCs/>
          <w:sz w:val="22"/>
          <w:szCs w:val="22"/>
          <w:lang w:val="es-AR"/>
        </w:rPr>
        <w:t xml:space="preserve"> </w:t>
      </w:r>
      <w:r w:rsidRPr="00CB3669">
        <w:rPr>
          <w:rFonts w:ascii="Arial" w:hAnsi="Arial" w:cs="Arial"/>
          <w:sz w:val="22"/>
          <w:szCs w:val="22"/>
          <w:lang w:val="es-AR"/>
        </w:rPr>
        <w:t>Cabe señalar que en realidad, fue tras la sanción de la Constitución de 1853 y la recepción de la influencia</w:t>
      </w:r>
      <w:r w:rsidRPr="00CB3669">
        <w:rPr>
          <w:rFonts w:ascii="Arial" w:hAnsi="Arial" w:cs="Arial"/>
          <w:i/>
          <w:iCs/>
          <w:sz w:val="22"/>
          <w:szCs w:val="22"/>
          <w:lang w:val="es-AR"/>
        </w:rPr>
        <w:t xml:space="preserve"> </w:t>
      </w:r>
      <w:r w:rsidRPr="00CB3669">
        <w:rPr>
          <w:rFonts w:ascii="Arial" w:hAnsi="Arial" w:cs="Arial"/>
          <w:sz w:val="22"/>
          <w:szCs w:val="22"/>
          <w:lang w:val="es-AR"/>
        </w:rPr>
        <w:t>de la Constitución estadounidense, con la correspondiente adopción por la Corte, en buena</w:t>
      </w:r>
      <w:r w:rsidRPr="00CB3669">
        <w:rPr>
          <w:rFonts w:ascii="Arial" w:hAnsi="Arial" w:cs="Arial"/>
          <w:i/>
          <w:iCs/>
          <w:sz w:val="22"/>
          <w:szCs w:val="22"/>
          <w:lang w:val="es-AR"/>
        </w:rPr>
        <w:t xml:space="preserve"> </w:t>
      </w:r>
      <w:r w:rsidRPr="00CB3669">
        <w:rPr>
          <w:rFonts w:ascii="Arial" w:hAnsi="Arial" w:cs="Arial"/>
          <w:sz w:val="22"/>
          <w:szCs w:val="22"/>
          <w:lang w:val="es-AR"/>
        </w:rPr>
        <w:t xml:space="preserve">medida, de la jurisprudencia estadounidense, cuando comenzaron a plantearse las tesis de la </w:t>
      </w:r>
      <w:r w:rsidRPr="00CB3669">
        <w:rPr>
          <w:rFonts w:ascii="Arial" w:hAnsi="Arial" w:cs="Arial"/>
          <w:i/>
          <w:iCs/>
          <w:sz w:val="22"/>
          <w:szCs w:val="22"/>
          <w:lang w:val="es-AR"/>
        </w:rPr>
        <w:t xml:space="preserve">inmunidad </w:t>
      </w:r>
      <w:r w:rsidRPr="00CB3669">
        <w:rPr>
          <w:rFonts w:ascii="Arial" w:hAnsi="Arial" w:cs="Arial"/>
          <w:i/>
          <w:iCs/>
          <w:sz w:val="22"/>
          <w:szCs w:val="22"/>
        </w:rPr>
        <w:t xml:space="preserve">soberana </w:t>
      </w:r>
      <w:r w:rsidRPr="00CB3669">
        <w:rPr>
          <w:rFonts w:ascii="Arial" w:hAnsi="Arial" w:cs="Arial"/>
          <w:sz w:val="22"/>
          <w:szCs w:val="22"/>
        </w:rPr>
        <w:t xml:space="preserve">y de la </w:t>
      </w:r>
      <w:proofErr w:type="spellStart"/>
      <w:r w:rsidRPr="00CB3669">
        <w:rPr>
          <w:rFonts w:ascii="Arial" w:hAnsi="Arial" w:cs="Arial"/>
          <w:i/>
          <w:iCs/>
          <w:sz w:val="22"/>
          <w:szCs w:val="22"/>
        </w:rPr>
        <w:t>indemandabilidad</w:t>
      </w:r>
      <w:proofErr w:type="spellEnd"/>
      <w:r w:rsidRPr="00CB3669">
        <w:rPr>
          <w:rFonts w:ascii="Arial" w:hAnsi="Arial" w:cs="Arial"/>
          <w:i/>
          <w:iCs/>
          <w:sz w:val="22"/>
          <w:szCs w:val="22"/>
        </w:rPr>
        <w:t xml:space="preserve"> del Estado </w:t>
      </w:r>
      <w:r w:rsidRPr="00CB3669">
        <w:rPr>
          <w:rFonts w:ascii="Arial" w:hAnsi="Arial" w:cs="Arial"/>
          <w:sz w:val="22"/>
          <w:szCs w:val="22"/>
        </w:rPr>
        <w:t>(principios totalmente ajenos a nuestro sistema)</w:t>
      </w:r>
      <w:r>
        <w:rPr>
          <w:rFonts w:ascii="Arial" w:hAnsi="Arial" w:cs="Arial"/>
          <w:sz w:val="22"/>
          <w:szCs w:val="22"/>
        </w:rPr>
        <w:t>”</w:t>
      </w:r>
      <w:r>
        <w:rPr>
          <w:rStyle w:val="Refdenotaalpie"/>
          <w:rFonts w:ascii="Arial" w:hAnsi="Arial" w:cs="Arial"/>
          <w:sz w:val="22"/>
          <w:szCs w:val="22"/>
        </w:rPr>
        <w:footnoteReference w:id="18"/>
      </w:r>
      <w:r w:rsidRPr="00CB3669">
        <w:rPr>
          <w:rFonts w:ascii="Arial" w:hAnsi="Arial" w:cs="Arial"/>
          <w:sz w:val="22"/>
          <w:szCs w:val="22"/>
        </w:rPr>
        <w:t>.</w:t>
      </w:r>
    </w:p>
    <w:p w:rsidR="00601100" w:rsidRPr="000370AB" w:rsidRDefault="00601100" w:rsidP="00601100">
      <w:pPr>
        <w:ind w:firstLine="1134"/>
        <w:jc w:val="both"/>
        <w:rPr>
          <w:rFonts w:ascii="Arial" w:hAnsi="Arial" w:cs="Arial"/>
          <w:sz w:val="22"/>
          <w:szCs w:val="22"/>
          <w:lang w:val="es-AR"/>
        </w:rPr>
      </w:pPr>
    </w:p>
    <w:p w:rsidR="00601100" w:rsidRDefault="00601100" w:rsidP="00601100">
      <w:pPr>
        <w:ind w:firstLine="1134"/>
        <w:jc w:val="both"/>
        <w:rPr>
          <w:rFonts w:ascii="Arial" w:hAnsi="Arial" w:cs="Arial"/>
          <w:sz w:val="24"/>
          <w:szCs w:val="24"/>
        </w:rPr>
      </w:pPr>
      <w:r>
        <w:rPr>
          <w:rFonts w:ascii="Arial" w:hAnsi="Arial" w:cs="Arial"/>
          <w:sz w:val="24"/>
          <w:szCs w:val="24"/>
        </w:rPr>
        <w:t xml:space="preserve">Entonces, ¿cuál es la consecuencia de ser </w:t>
      </w:r>
      <w:proofErr w:type="spellStart"/>
      <w:r>
        <w:rPr>
          <w:rFonts w:ascii="Arial" w:hAnsi="Arial" w:cs="Arial"/>
          <w:sz w:val="24"/>
          <w:szCs w:val="24"/>
        </w:rPr>
        <w:t>judicialistas</w:t>
      </w:r>
      <w:proofErr w:type="spellEnd"/>
      <w:r>
        <w:rPr>
          <w:rFonts w:ascii="Arial" w:hAnsi="Arial" w:cs="Arial"/>
          <w:sz w:val="24"/>
          <w:szCs w:val="24"/>
        </w:rPr>
        <w:t xml:space="preserve">? Que el modelo argentino “prohíbe en todos los casos al Poder Ejecutivo ejercer funciones judiciales (…)”, y que excepcionalmente, podría atribuírseles jurisdicción a Tribunales Administrativo. En otras palabras, que el Poder Ejecutivo tome el lugar del Poder Judicial. </w:t>
      </w:r>
    </w:p>
    <w:p w:rsidR="00601100" w:rsidRPr="009F022B"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MX"/>
        </w:rPr>
      </w:pPr>
      <w:r>
        <w:rPr>
          <w:rFonts w:ascii="Arial" w:hAnsi="Arial" w:cs="Arial"/>
          <w:sz w:val="24"/>
          <w:szCs w:val="24"/>
        </w:rPr>
        <w:t>Esto es diferente en la organización constitucional del Estado Norteamericano. En dicho país, se admite, como regla, la jurisdicción administrativa, llamada “jurisdicción primaria”, ejercida por un sistema de “agencias”. Es más, bastante recientemente este sentido se vio profundizado con las letras chicas de los contratos, al renunciar el ciudadano sin saberlo, al reclamo en justicia directamente (recomiendo el documental “</w:t>
      </w:r>
      <w:r w:rsidRPr="00DC594B">
        <w:rPr>
          <w:rFonts w:ascii="Arial" w:hAnsi="Arial" w:cs="Arial"/>
          <w:i/>
          <w:sz w:val="24"/>
          <w:szCs w:val="24"/>
        </w:rPr>
        <w:t xml:space="preserve">Hot </w:t>
      </w:r>
      <w:proofErr w:type="spellStart"/>
      <w:r w:rsidRPr="00DC594B">
        <w:rPr>
          <w:rFonts w:ascii="Arial" w:hAnsi="Arial" w:cs="Arial"/>
          <w:i/>
          <w:sz w:val="24"/>
          <w:szCs w:val="24"/>
        </w:rPr>
        <w:t>Coffee</w:t>
      </w:r>
      <w:proofErr w:type="spellEnd"/>
      <w:r>
        <w:rPr>
          <w:rFonts w:ascii="Arial" w:hAnsi="Arial" w:cs="Arial"/>
          <w:sz w:val="24"/>
          <w:szCs w:val="24"/>
        </w:rPr>
        <w:t>”, muy ilustrativo al respecto, mostrando la incidencia del fenómeno hasta en cuestiones laborales).</w:t>
      </w:r>
      <w:r>
        <w:rPr>
          <w:rFonts w:ascii="Arial" w:hAnsi="Arial" w:cs="Arial"/>
          <w:sz w:val="24"/>
          <w:szCs w:val="24"/>
          <w:lang w:val="es-MX"/>
        </w:rPr>
        <w:t xml:space="preserve"> </w:t>
      </w:r>
    </w:p>
    <w:p w:rsidR="00B7230D" w:rsidRDefault="00B7230D"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Esta jurisdicción administrativa va en línea (como un crescendo de la incidencia de la economía y la política en el derecho) con la influencia directa que tiene a su vez el poder político en el poder judicial, como fuera puesto de manifiesto en mis votos en las causas “Acevedo” y “</w:t>
      </w:r>
      <w:proofErr w:type="spellStart"/>
      <w:r>
        <w:rPr>
          <w:rFonts w:ascii="Arial" w:hAnsi="Arial" w:cs="Arial"/>
          <w:sz w:val="24"/>
          <w:szCs w:val="24"/>
          <w:lang w:val="es-MX"/>
        </w:rPr>
        <w:t>Fiorino</w:t>
      </w:r>
      <w:proofErr w:type="spellEnd"/>
      <w:r>
        <w:rPr>
          <w:rFonts w:ascii="Arial" w:hAnsi="Arial" w:cs="Arial"/>
          <w:sz w:val="24"/>
          <w:szCs w:val="24"/>
          <w:lang w:val="es-MX"/>
        </w:rPr>
        <w:t>”</w:t>
      </w:r>
      <w:r>
        <w:rPr>
          <w:rStyle w:val="Refdenotaalpie"/>
          <w:rFonts w:ascii="Arial" w:hAnsi="Arial" w:cs="Arial"/>
          <w:sz w:val="24"/>
          <w:szCs w:val="24"/>
          <w:lang w:val="es-MX"/>
        </w:rPr>
        <w:footnoteReference w:id="19"/>
      </w:r>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En los EEUU, un precedente que atienda un tema muy relevante, es vinculante siempre y cuando el poder político no decida lo contrario, en cuyo caso se entroniza uno nuevo. Esto, es técnicamente </w:t>
      </w:r>
      <w:r>
        <w:rPr>
          <w:rFonts w:ascii="Arial" w:hAnsi="Arial" w:cs="Arial"/>
          <w:sz w:val="24"/>
          <w:szCs w:val="24"/>
          <w:lang w:val="es-MX"/>
        </w:rPr>
        <w:lastRenderedPageBreak/>
        <w:t xml:space="preserve">posible en un modelo de </w:t>
      </w:r>
      <w:proofErr w:type="spellStart"/>
      <w:r>
        <w:rPr>
          <w:rFonts w:ascii="Arial" w:hAnsi="Arial" w:cs="Arial"/>
          <w:i/>
          <w:sz w:val="24"/>
          <w:szCs w:val="24"/>
          <w:lang w:val="es-MX"/>
        </w:rPr>
        <w:t>common</w:t>
      </w:r>
      <w:proofErr w:type="spellEnd"/>
      <w:r>
        <w:rPr>
          <w:rFonts w:ascii="Arial" w:hAnsi="Arial" w:cs="Arial"/>
          <w:i/>
          <w:sz w:val="24"/>
          <w:szCs w:val="24"/>
          <w:lang w:val="es-MX"/>
        </w:rPr>
        <w:t xml:space="preserve"> </w:t>
      </w:r>
      <w:proofErr w:type="spellStart"/>
      <w:r>
        <w:rPr>
          <w:rFonts w:ascii="Arial" w:hAnsi="Arial" w:cs="Arial"/>
          <w:i/>
          <w:sz w:val="24"/>
          <w:szCs w:val="24"/>
          <w:lang w:val="es-MX"/>
        </w:rPr>
        <w:t>law</w:t>
      </w:r>
      <w:proofErr w:type="spellEnd"/>
      <w:r>
        <w:rPr>
          <w:rFonts w:ascii="Arial" w:hAnsi="Arial" w:cs="Arial"/>
          <w:sz w:val="24"/>
          <w:szCs w:val="24"/>
          <w:lang w:val="es-MX"/>
        </w:rPr>
        <w:t xml:space="preserve">, pero no en uno continental como el nuestro, que brinda mayor seguridad jurídica. Esa misma que se pretende destruir cuando se confunden los efectos de los fallos de la Corte, o cuando simplemente se lo considera un tema menor y se lo soslaya o se lo trata ligeramente, cuando es central  </w:t>
      </w:r>
      <w:r w:rsidRPr="00106C27">
        <w:rPr>
          <w:rFonts w:ascii="Arial" w:hAnsi="Arial" w:cs="Arial"/>
          <w:sz w:val="24"/>
          <w:szCs w:val="24"/>
          <w:vertAlign w:val="superscript"/>
          <w:lang w:val="es-MX"/>
        </w:rPr>
        <w:footnoteReference w:id="20"/>
      </w:r>
      <w:r>
        <w:rPr>
          <w:rFonts w:ascii="Arial" w:hAnsi="Arial" w:cs="Arial"/>
          <w:sz w:val="24"/>
          <w:szCs w:val="24"/>
          <w:lang w:val="es-MX"/>
        </w:rPr>
        <w:t>.</w:t>
      </w:r>
    </w:p>
    <w:p w:rsidR="00601100" w:rsidRPr="00106C27"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Esta tendencia a confundir conceptos estructurales pierde un tanto su inocencia (</w:t>
      </w:r>
      <w:r w:rsidRPr="00C241C7">
        <w:rPr>
          <w:rFonts w:ascii="Arial" w:hAnsi="Arial" w:cs="Arial"/>
          <w:sz w:val="24"/>
          <w:szCs w:val="24"/>
          <w:lang w:val="es-MX"/>
        </w:rPr>
        <w:t xml:space="preserve">para el caso de </w:t>
      </w:r>
      <w:r>
        <w:rPr>
          <w:rFonts w:ascii="Arial" w:hAnsi="Arial" w:cs="Arial"/>
          <w:sz w:val="24"/>
          <w:szCs w:val="24"/>
          <w:lang w:val="es-MX"/>
        </w:rPr>
        <w:t xml:space="preserve">no ser deliberada y </w:t>
      </w:r>
      <w:r w:rsidRPr="00C241C7">
        <w:rPr>
          <w:rFonts w:ascii="Arial" w:hAnsi="Arial" w:cs="Arial"/>
          <w:sz w:val="24"/>
          <w:szCs w:val="24"/>
          <w:lang w:val="es-MX"/>
        </w:rPr>
        <w:t>constituir un defecto de formación jurídica</w:t>
      </w:r>
      <w:r>
        <w:rPr>
          <w:rFonts w:ascii="Arial" w:hAnsi="Arial" w:cs="Arial"/>
          <w:sz w:val="24"/>
          <w:szCs w:val="24"/>
          <w:lang w:val="es-MX"/>
        </w:rPr>
        <w:t xml:space="preserve">), si observamos que  en principio, en nuestro país los precedentes norteamericanos en materia de </w:t>
      </w:r>
      <w:proofErr w:type="spellStart"/>
      <w:r w:rsidRPr="00AD444D">
        <w:rPr>
          <w:rFonts w:ascii="Arial" w:hAnsi="Arial" w:cs="Arial"/>
          <w:i/>
          <w:sz w:val="24"/>
          <w:szCs w:val="24"/>
          <w:lang w:val="es-MX"/>
        </w:rPr>
        <w:t>disregard</w:t>
      </w:r>
      <w:proofErr w:type="spellEnd"/>
      <w:r>
        <w:rPr>
          <w:rStyle w:val="Refdenotaalpie"/>
          <w:rFonts w:ascii="Arial" w:hAnsi="Arial" w:cs="Arial"/>
          <w:i/>
          <w:sz w:val="24"/>
          <w:szCs w:val="24"/>
          <w:lang w:val="es-MX"/>
        </w:rPr>
        <w:footnoteReference w:id="21"/>
      </w:r>
      <w:r w:rsidR="007B0F40">
        <w:rPr>
          <w:rFonts w:ascii="Arial" w:hAnsi="Arial" w:cs="Arial"/>
          <w:i/>
          <w:sz w:val="24"/>
          <w:szCs w:val="24"/>
          <w:lang w:val="es-MX"/>
        </w:rPr>
        <w:t xml:space="preserve"> (alt</w:t>
      </w:r>
      <w:r w:rsidRPr="00AD444D">
        <w:rPr>
          <w:rFonts w:ascii="Arial" w:hAnsi="Arial" w:cs="Arial"/>
          <w:i/>
          <w:sz w:val="24"/>
          <w:szCs w:val="24"/>
          <w:lang w:val="es-MX"/>
        </w:rPr>
        <w:t>er ego</w:t>
      </w:r>
      <w:r>
        <w:rPr>
          <w:rFonts w:ascii="Arial" w:hAnsi="Arial" w:cs="Arial"/>
          <w:sz w:val="24"/>
          <w:szCs w:val="24"/>
          <w:lang w:val="es-MX"/>
        </w:rPr>
        <w:t xml:space="preserve">, o </w:t>
      </w:r>
      <w:proofErr w:type="spellStart"/>
      <w:r w:rsidRPr="00AD444D">
        <w:rPr>
          <w:rFonts w:ascii="Arial" w:hAnsi="Arial" w:cs="Arial"/>
          <w:i/>
          <w:sz w:val="24"/>
          <w:szCs w:val="24"/>
          <w:lang w:val="es-MX"/>
        </w:rPr>
        <w:t>piercing</w:t>
      </w:r>
      <w:proofErr w:type="spellEnd"/>
      <w:r w:rsidRPr="00AD444D">
        <w:rPr>
          <w:rFonts w:ascii="Arial" w:hAnsi="Arial" w:cs="Arial"/>
          <w:i/>
          <w:sz w:val="24"/>
          <w:szCs w:val="24"/>
          <w:lang w:val="es-MX"/>
        </w:rPr>
        <w:t xml:space="preserve"> </w:t>
      </w:r>
      <w:proofErr w:type="spellStart"/>
      <w:r w:rsidRPr="00AD444D">
        <w:rPr>
          <w:rFonts w:ascii="Arial" w:hAnsi="Arial" w:cs="Arial"/>
          <w:i/>
          <w:sz w:val="24"/>
          <w:szCs w:val="24"/>
          <w:lang w:val="es-MX"/>
        </w:rPr>
        <w:t>the</w:t>
      </w:r>
      <w:proofErr w:type="spellEnd"/>
      <w:r w:rsidRPr="00AD444D">
        <w:rPr>
          <w:rFonts w:ascii="Arial" w:hAnsi="Arial" w:cs="Arial"/>
          <w:i/>
          <w:sz w:val="24"/>
          <w:szCs w:val="24"/>
          <w:lang w:val="es-MX"/>
        </w:rPr>
        <w:t xml:space="preserve"> </w:t>
      </w:r>
      <w:proofErr w:type="spellStart"/>
      <w:r w:rsidRPr="00AD444D">
        <w:rPr>
          <w:rFonts w:ascii="Arial" w:hAnsi="Arial" w:cs="Arial"/>
          <w:i/>
          <w:sz w:val="24"/>
          <w:szCs w:val="24"/>
          <w:lang w:val="es-MX"/>
        </w:rPr>
        <w:t>corporate</w:t>
      </w:r>
      <w:proofErr w:type="spellEnd"/>
      <w:r w:rsidRPr="00AD444D">
        <w:rPr>
          <w:rFonts w:ascii="Arial" w:hAnsi="Arial" w:cs="Arial"/>
          <w:i/>
          <w:sz w:val="24"/>
          <w:szCs w:val="24"/>
          <w:lang w:val="es-MX"/>
        </w:rPr>
        <w:t xml:space="preserve"> </w:t>
      </w:r>
      <w:proofErr w:type="spellStart"/>
      <w:r w:rsidRPr="00AD444D">
        <w:rPr>
          <w:rFonts w:ascii="Arial" w:hAnsi="Arial" w:cs="Arial"/>
          <w:i/>
          <w:sz w:val="24"/>
          <w:szCs w:val="24"/>
          <w:lang w:val="es-MX"/>
        </w:rPr>
        <w:t>veil</w:t>
      </w:r>
      <w:proofErr w:type="spellEnd"/>
      <w:r>
        <w:rPr>
          <w:rFonts w:ascii="Arial" w:hAnsi="Arial" w:cs="Arial"/>
          <w:sz w:val="24"/>
          <w:szCs w:val="24"/>
          <w:lang w:val="es-MX"/>
        </w:rPr>
        <w:t>), han sido ignorados en materia laboral</w:t>
      </w:r>
      <w:r>
        <w:rPr>
          <w:rStyle w:val="Refdenotaalpie"/>
          <w:rFonts w:ascii="Arial" w:hAnsi="Arial" w:cs="Arial"/>
          <w:sz w:val="24"/>
          <w:szCs w:val="24"/>
          <w:lang w:val="es-MX"/>
        </w:rPr>
        <w:footnoteReference w:id="22"/>
      </w:r>
      <w:r>
        <w:rPr>
          <w:rFonts w:ascii="Arial" w:hAnsi="Arial" w:cs="Arial"/>
          <w:sz w:val="24"/>
          <w:szCs w:val="24"/>
          <w:lang w:val="es-MX"/>
        </w:rPr>
        <w:t>, precisamente cuando resultaban favorables al trabajador.</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Es más, en este punto se observa con claridad que si el objetivo final no es el respeto por el derecho, sino el de los intereses de turno, se procurará confundir una y otra estructura jurídica. Así, en EEUU, las corporaciones pidieron que al menos en materia de </w:t>
      </w:r>
      <w:r w:rsidR="007B0F40">
        <w:rPr>
          <w:rFonts w:ascii="Arial" w:hAnsi="Arial" w:cs="Arial"/>
          <w:i/>
          <w:sz w:val="24"/>
          <w:szCs w:val="24"/>
          <w:lang w:val="es-MX"/>
        </w:rPr>
        <w:t>alt</w:t>
      </w:r>
      <w:bookmarkStart w:id="0" w:name="_GoBack"/>
      <w:bookmarkEnd w:id="0"/>
      <w:r>
        <w:rPr>
          <w:rFonts w:ascii="Arial" w:hAnsi="Arial" w:cs="Arial"/>
          <w:i/>
          <w:sz w:val="24"/>
          <w:szCs w:val="24"/>
          <w:lang w:val="es-MX"/>
        </w:rPr>
        <w:t>er ego,</w:t>
      </w:r>
      <w:r>
        <w:rPr>
          <w:rFonts w:ascii="Arial" w:hAnsi="Arial" w:cs="Arial"/>
          <w:sz w:val="24"/>
          <w:szCs w:val="24"/>
          <w:lang w:val="es-MX"/>
        </w:rPr>
        <w:t xml:space="preserve"> se codificara el derecho al que debían atenerse ellas y los jueces (pasar a un modelo continental en el tema), dado que la multitud de precedentes y estados en los que tenían que operar –lo que multiplicaba aún más los primeros-, aumentaba exponencialmente el riesgo de una condena.</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 Al mismo tiempo, en Argentina se nos sometía a otra ráfaga de confusiones en ese tema, con respecto a la </w:t>
      </w:r>
      <w:proofErr w:type="spellStart"/>
      <w:r>
        <w:rPr>
          <w:rFonts w:ascii="Arial" w:hAnsi="Arial" w:cs="Arial"/>
          <w:sz w:val="24"/>
          <w:szCs w:val="24"/>
          <w:lang w:val="es-MX"/>
        </w:rPr>
        <w:t>vinculatoriedad</w:t>
      </w:r>
      <w:proofErr w:type="spellEnd"/>
      <w:r>
        <w:rPr>
          <w:rFonts w:ascii="Arial" w:hAnsi="Arial" w:cs="Arial"/>
          <w:sz w:val="24"/>
          <w:szCs w:val="24"/>
          <w:lang w:val="es-MX"/>
        </w:rPr>
        <w:t xml:space="preserve"> del precedente (recordemos las publicaciones especializadas invocando la existencia de un </w:t>
      </w:r>
      <w:proofErr w:type="spellStart"/>
      <w:r>
        <w:rPr>
          <w:rFonts w:ascii="Arial" w:hAnsi="Arial" w:cs="Arial"/>
          <w:i/>
          <w:sz w:val="24"/>
          <w:szCs w:val="24"/>
          <w:lang w:val="es-MX"/>
        </w:rPr>
        <w:t>quietus</w:t>
      </w:r>
      <w:proofErr w:type="spellEnd"/>
      <w:r>
        <w:rPr>
          <w:rFonts w:ascii="Arial" w:hAnsi="Arial" w:cs="Arial"/>
          <w:sz w:val="24"/>
          <w:szCs w:val="24"/>
          <w:lang w:val="es-MX"/>
        </w:rPr>
        <w:t>, por el fallo “</w:t>
      </w:r>
      <w:proofErr w:type="spellStart"/>
      <w:r>
        <w:rPr>
          <w:rFonts w:ascii="Arial" w:hAnsi="Arial" w:cs="Arial"/>
          <w:sz w:val="24"/>
          <w:szCs w:val="24"/>
          <w:lang w:val="es-MX"/>
        </w:rPr>
        <w:t>Palomeque</w:t>
      </w:r>
      <w:proofErr w:type="spellEnd"/>
      <w:r>
        <w:rPr>
          <w:rFonts w:ascii="Arial" w:hAnsi="Arial" w:cs="Arial"/>
          <w:sz w:val="24"/>
          <w:szCs w:val="24"/>
          <w:lang w:val="es-MX"/>
        </w:rPr>
        <w:t>”, por “</w:t>
      </w:r>
      <w:proofErr w:type="spellStart"/>
      <w:r>
        <w:rPr>
          <w:rFonts w:ascii="Arial" w:hAnsi="Arial" w:cs="Arial"/>
          <w:sz w:val="24"/>
          <w:szCs w:val="24"/>
          <w:lang w:val="es-MX"/>
        </w:rPr>
        <w:t>Cingiale</w:t>
      </w:r>
      <w:proofErr w:type="spellEnd"/>
      <w:r>
        <w:rPr>
          <w:rFonts w:ascii="Arial" w:hAnsi="Arial" w:cs="Arial"/>
          <w:sz w:val="24"/>
          <w:szCs w:val="24"/>
          <w:lang w:val="es-MX"/>
        </w:rPr>
        <w:t xml:space="preserve">” –donde no se abrió el extraordinario-  y lo que la propia Corte sostenía al respecto, ver en el punto la opinión de la minoría también para la apertura del extraordinario en </w:t>
      </w:r>
      <w:proofErr w:type="spellStart"/>
      <w:r>
        <w:rPr>
          <w:rFonts w:ascii="Arial" w:hAnsi="Arial" w:cs="Arial"/>
          <w:sz w:val="24"/>
          <w:szCs w:val="24"/>
          <w:lang w:val="es-MX"/>
        </w:rPr>
        <w:t>Davedere</w:t>
      </w:r>
      <w:proofErr w:type="spellEnd"/>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Es decir, se pretendía que éramos un </w:t>
      </w:r>
      <w:proofErr w:type="spellStart"/>
      <w:r>
        <w:rPr>
          <w:rFonts w:ascii="Arial" w:hAnsi="Arial" w:cs="Arial"/>
          <w:i/>
          <w:sz w:val="24"/>
          <w:szCs w:val="24"/>
          <w:lang w:val="es-MX"/>
        </w:rPr>
        <w:t>common</w:t>
      </w:r>
      <w:proofErr w:type="spellEnd"/>
      <w:r>
        <w:rPr>
          <w:rFonts w:ascii="Arial" w:hAnsi="Arial" w:cs="Arial"/>
          <w:i/>
          <w:sz w:val="24"/>
          <w:szCs w:val="24"/>
          <w:lang w:val="es-MX"/>
        </w:rPr>
        <w:t xml:space="preserve"> </w:t>
      </w:r>
      <w:proofErr w:type="spellStart"/>
      <w:r>
        <w:rPr>
          <w:rFonts w:ascii="Arial" w:hAnsi="Arial" w:cs="Arial"/>
          <w:i/>
          <w:sz w:val="24"/>
          <w:szCs w:val="24"/>
          <w:lang w:val="es-MX"/>
        </w:rPr>
        <w:t>law</w:t>
      </w:r>
      <w:proofErr w:type="spellEnd"/>
      <w:r>
        <w:rPr>
          <w:rStyle w:val="Refdenotaalpie"/>
          <w:rFonts w:ascii="Arial" w:hAnsi="Arial" w:cs="Arial"/>
          <w:i/>
          <w:sz w:val="24"/>
          <w:szCs w:val="24"/>
          <w:lang w:val="es-MX"/>
        </w:rPr>
        <w:footnoteReference w:id="23"/>
      </w:r>
      <w:r>
        <w:rPr>
          <w:rFonts w:ascii="Arial" w:hAnsi="Arial" w:cs="Arial"/>
          <w:i/>
          <w:sz w:val="24"/>
          <w:szCs w:val="24"/>
          <w:lang w:val="es-MX"/>
        </w:rPr>
        <w:t xml:space="preserve">, </w:t>
      </w:r>
      <w:r>
        <w:rPr>
          <w:rFonts w:ascii="Arial" w:hAnsi="Arial" w:cs="Arial"/>
          <w:sz w:val="24"/>
          <w:szCs w:val="24"/>
          <w:lang w:val="es-MX"/>
        </w:rPr>
        <w:t xml:space="preserve">pero a diferencia de lo sucedido en los EEUU, no se trataba del pedido de un cambio, sino de una interpretación inválida del propio sistema jurídico.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Nótese que cuando se quiso que los fallos de la Corte fuesen vinculantes, así se dispuso, como en la constitución de 1949, derogándose luego la </w:t>
      </w:r>
      <w:proofErr w:type="spellStart"/>
      <w:r w:rsidRPr="00DF09BD">
        <w:rPr>
          <w:rFonts w:ascii="Arial" w:hAnsi="Arial" w:cs="Arial"/>
          <w:sz w:val="24"/>
          <w:szCs w:val="24"/>
          <w:lang w:val="es-MX"/>
        </w:rPr>
        <w:t>vinculatoriedad</w:t>
      </w:r>
      <w:proofErr w:type="spellEnd"/>
      <w:r w:rsidRPr="00DF09BD">
        <w:rPr>
          <w:rFonts w:ascii="Arial" w:hAnsi="Arial" w:cs="Arial"/>
          <w:sz w:val="24"/>
          <w:szCs w:val="24"/>
          <w:lang w:val="es-MX"/>
        </w:rPr>
        <w:t xml:space="preserve"> en la reforma constitucional de 1957.</w:t>
      </w:r>
    </w:p>
    <w:p w:rsidR="00601100" w:rsidRPr="00A44DE3"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Creo oportuno precisar, que para el caso de contemplarse una reforma constitucional que modifique el sistema jurídico, incurriríamos en el error conocido vulgarmente de “cambiar los ojos por el rabo”.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Digo así, porque agobiados tal vez por las deficiencias y fallas en la práctica del derecho, nos dejaríamos encandilar por lo pragmático del derecho norteamericano (que no está exento de los mismos defectos de corte humano), perdiendo un sistema que, correctamente usado, proveería altos índices de seguridad jurídica.</w:t>
      </w:r>
      <w:r w:rsidRPr="00DF09BD">
        <w:t xml:space="preserve"> </w:t>
      </w:r>
      <w:r w:rsidRPr="00DF09BD">
        <w:rPr>
          <w:rFonts w:ascii="Arial" w:hAnsi="Arial" w:cs="Arial"/>
          <w:sz w:val="24"/>
          <w:szCs w:val="24"/>
          <w:lang w:val="es-MX"/>
        </w:rPr>
        <w:t>No es esto lo que dice</w:t>
      </w:r>
      <w:r>
        <w:rPr>
          <w:rFonts w:ascii="Arial" w:hAnsi="Arial" w:cs="Arial"/>
          <w:sz w:val="24"/>
          <w:szCs w:val="24"/>
          <w:lang w:val="es-MX"/>
        </w:rPr>
        <w:t>, ni procura decir,</w:t>
      </w:r>
      <w:r w:rsidRPr="00DF09BD">
        <w:rPr>
          <w:rFonts w:ascii="Arial" w:hAnsi="Arial" w:cs="Arial"/>
          <w:sz w:val="24"/>
          <w:szCs w:val="24"/>
          <w:lang w:val="es-MX"/>
        </w:rPr>
        <w:t xml:space="preserve"> nuestra Constitución Nacional.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Por tal motivo, en el fallo “Acevedo”, </w:t>
      </w:r>
      <w:r w:rsidRPr="00106C27">
        <w:rPr>
          <w:rFonts w:ascii="Arial" w:hAnsi="Arial" w:cs="Arial"/>
          <w:sz w:val="24"/>
          <w:szCs w:val="24"/>
          <w:lang w:val="es-MX"/>
        </w:rPr>
        <w:t>desar</w:t>
      </w:r>
      <w:r>
        <w:rPr>
          <w:rFonts w:ascii="Arial" w:hAnsi="Arial" w:cs="Arial"/>
          <w:sz w:val="24"/>
          <w:szCs w:val="24"/>
          <w:lang w:val="es-MX"/>
        </w:rPr>
        <w:t>rollé la crítica al modelo de EE UU, donde al gozar los precedentes de</w:t>
      </w:r>
      <w:r w:rsidRPr="00A44DE3">
        <w:rPr>
          <w:rFonts w:ascii="Arial" w:hAnsi="Arial" w:cs="Arial"/>
          <w:sz w:val="24"/>
          <w:szCs w:val="24"/>
          <w:lang w:val="es-AR"/>
        </w:rPr>
        <w:t xml:space="preserve"> fuerza jurídica vinculante</w:t>
      </w:r>
      <w:r>
        <w:rPr>
          <w:rFonts w:ascii="Arial" w:hAnsi="Arial" w:cs="Arial"/>
          <w:sz w:val="24"/>
          <w:szCs w:val="24"/>
          <w:lang w:val="es-AR"/>
        </w:rPr>
        <w:t xml:space="preserve">, </w:t>
      </w:r>
      <w:r>
        <w:rPr>
          <w:rFonts w:ascii="Arial" w:hAnsi="Arial" w:cs="Arial"/>
          <w:sz w:val="24"/>
          <w:szCs w:val="24"/>
          <w:lang w:val="es-MX"/>
        </w:rPr>
        <w:t xml:space="preserve">se asegura </w:t>
      </w:r>
      <w:r w:rsidRPr="00A44DE3">
        <w:rPr>
          <w:rFonts w:ascii="Arial" w:hAnsi="Arial" w:cs="Arial"/>
          <w:sz w:val="24"/>
          <w:szCs w:val="24"/>
          <w:lang w:val="es-MX"/>
        </w:rPr>
        <w:t>“</w:t>
      </w:r>
      <w:r w:rsidRPr="00A44DE3">
        <w:rPr>
          <w:rFonts w:ascii="Arial" w:hAnsi="Arial" w:cs="Arial"/>
          <w:b/>
          <w:sz w:val="24"/>
          <w:szCs w:val="24"/>
          <w:lang w:val="es-MX"/>
        </w:rPr>
        <w:t>uniformidad</w:t>
      </w:r>
      <w:r>
        <w:rPr>
          <w:rFonts w:ascii="Arial" w:hAnsi="Arial" w:cs="Arial"/>
          <w:sz w:val="24"/>
          <w:szCs w:val="24"/>
          <w:lang w:val="es-MX"/>
        </w:rPr>
        <w:t xml:space="preserve">” es pos del interés de turno,  en defensa de un modelo como el nuestro, de no </w:t>
      </w:r>
      <w:proofErr w:type="spellStart"/>
      <w:r>
        <w:rPr>
          <w:rFonts w:ascii="Arial" w:hAnsi="Arial" w:cs="Arial"/>
          <w:sz w:val="24"/>
          <w:szCs w:val="24"/>
          <w:lang w:val="es-MX"/>
        </w:rPr>
        <w:t>vinculatoriedad</w:t>
      </w:r>
      <w:proofErr w:type="spellEnd"/>
      <w:r>
        <w:rPr>
          <w:rFonts w:ascii="Arial" w:hAnsi="Arial" w:cs="Arial"/>
          <w:sz w:val="24"/>
          <w:szCs w:val="24"/>
          <w:lang w:val="es-MX"/>
        </w:rPr>
        <w:t xml:space="preserve"> y control difuso de constitucionalidad</w:t>
      </w:r>
      <w:r>
        <w:rPr>
          <w:rStyle w:val="Refdenotaalpie"/>
          <w:rFonts w:ascii="Arial" w:hAnsi="Arial" w:cs="Arial"/>
          <w:sz w:val="24"/>
          <w:szCs w:val="24"/>
          <w:lang w:val="es-MX"/>
        </w:rPr>
        <w:footnoteReference w:id="24"/>
      </w:r>
      <w:r>
        <w:rPr>
          <w:rFonts w:ascii="Arial" w:hAnsi="Arial" w:cs="Arial"/>
          <w:sz w:val="24"/>
          <w:szCs w:val="24"/>
          <w:lang w:val="es-MX"/>
        </w:rPr>
        <w:t xml:space="preserve">, que procura </w:t>
      </w:r>
      <w:r w:rsidRPr="005C2167">
        <w:rPr>
          <w:rFonts w:ascii="Arial" w:hAnsi="Arial" w:cs="Arial"/>
          <w:sz w:val="24"/>
          <w:szCs w:val="24"/>
          <w:lang w:val="es-MX"/>
        </w:rPr>
        <w:t>la independencia judicial</w:t>
      </w:r>
      <w:r>
        <w:rPr>
          <w:rFonts w:ascii="Arial" w:hAnsi="Arial" w:cs="Arial"/>
          <w:sz w:val="24"/>
          <w:szCs w:val="24"/>
          <w:lang w:val="es-MX"/>
        </w:rPr>
        <w:t xml:space="preserve"> -en lo que coincidió la </w:t>
      </w:r>
      <w:proofErr w:type="spellStart"/>
      <w:r>
        <w:rPr>
          <w:rFonts w:ascii="Arial" w:hAnsi="Arial" w:cs="Arial"/>
          <w:sz w:val="24"/>
          <w:szCs w:val="24"/>
          <w:lang w:val="es-MX"/>
        </w:rPr>
        <w:t>CorteIDH</w:t>
      </w:r>
      <w:proofErr w:type="spellEnd"/>
      <w:r>
        <w:rPr>
          <w:rStyle w:val="Refdenotaalpie"/>
          <w:rFonts w:ascii="Arial" w:hAnsi="Arial" w:cs="Arial"/>
          <w:sz w:val="24"/>
          <w:szCs w:val="24"/>
          <w:lang w:val="es-MX"/>
        </w:rPr>
        <w:footnoteReference w:id="25"/>
      </w:r>
      <w:r>
        <w:rPr>
          <w:rFonts w:ascii="Arial" w:hAnsi="Arial" w:cs="Arial"/>
          <w:sz w:val="24"/>
          <w:szCs w:val="24"/>
          <w:lang w:val="es-MX"/>
        </w:rPr>
        <w:t xml:space="preserve">-.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Para justificar mis afirmaciones, apunté al </w:t>
      </w:r>
      <w:r w:rsidRPr="00106C27">
        <w:rPr>
          <w:rFonts w:ascii="Arial" w:hAnsi="Arial" w:cs="Arial"/>
          <w:sz w:val="24"/>
          <w:szCs w:val="24"/>
          <w:lang w:val="es-MX"/>
        </w:rPr>
        <w:t xml:space="preserve">análisis de jurisprudencia norteamericana, donde se </w:t>
      </w:r>
      <w:r>
        <w:rPr>
          <w:rFonts w:ascii="Arial" w:hAnsi="Arial" w:cs="Arial"/>
          <w:sz w:val="24"/>
          <w:szCs w:val="24"/>
          <w:lang w:val="es-MX"/>
        </w:rPr>
        <w:t>demuestra</w:t>
      </w:r>
      <w:r w:rsidRPr="00106C27">
        <w:rPr>
          <w:rFonts w:ascii="Arial" w:hAnsi="Arial" w:cs="Arial"/>
          <w:sz w:val="24"/>
          <w:szCs w:val="24"/>
          <w:lang w:val="es-MX"/>
        </w:rPr>
        <w:t xml:space="preserve"> que</w:t>
      </w:r>
      <w:r>
        <w:rPr>
          <w:rFonts w:ascii="Arial" w:hAnsi="Arial" w:cs="Arial"/>
          <w:sz w:val="24"/>
          <w:szCs w:val="24"/>
          <w:lang w:val="es-MX"/>
        </w:rPr>
        <w:t>,</w:t>
      </w:r>
      <w:r w:rsidRPr="00106C27">
        <w:rPr>
          <w:rFonts w:ascii="Arial" w:hAnsi="Arial" w:cs="Arial"/>
          <w:sz w:val="24"/>
          <w:szCs w:val="24"/>
          <w:lang w:val="es-MX"/>
        </w:rPr>
        <w:t xml:space="preserve"> aunque en el derecho </w:t>
      </w:r>
      <w:r>
        <w:rPr>
          <w:rFonts w:ascii="Arial" w:hAnsi="Arial" w:cs="Arial"/>
          <w:sz w:val="24"/>
          <w:szCs w:val="24"/>
          <w:lang w:val="es-MX"/>
        </w:rPr>
        <w:t>hubiese sobrevenido</w:t>
      </w:r>
      <w:r w:rsidRPr="00106C27">
        <w:rPr>
          <w:rFonts w:ascii="Arial" w:hAnsi="Arial" w:cs="Arial"/>
          <w:sz w:val="24"/>
          <w:szCs w:val="24"/>
          <w:lang w:val="es-MX"/>
        </w:rPr>
        <w:t xml:space="preserve"> una mejora para </w:t>
      </w:r>
      <w:r>
        <w:rPr>
          <w:rFonts w:ascii="Arial" w:hAnsi="Arial" w:cs="Arial"/>
          <w:sz w:val="24"/>
          <w:szCs w:val="24"/>
          <w:lang w:val="es-MX"/>
        </w:rPr>
        <w:t>un</w:t>
      </w:r>
      <w:r w:rsidRPr="00106C27">
        <w:rPr>
          <w:rFonts w:ascii="Arial" w:hAnsi="Arial" w:cs="Arial"/>
          <w:sz w:val="24"/>
          <w:szCs w:val="24"/>
          <w:lang w:val="es-MX"/>
        </w:rPr>
        <w:t xml:space="preserve"> sector </w:t>
      </w:r>
      <w:r>
        <w:rPr>
          <w:rFonts w:ascii="Arial" w:hAnsi="Arial" w:cs="Arial"/>
          <w:sz w:val="24"/>
          <w:szCs w:val="24"/>
          <w:lang w:val="es-MX"/>
        </w:rPr>
        <w:t xml:space="preserve">minoritario en poder, en los hechos la interpretación judicial, continuaba desfavoreciéndolos. Este efecto se lograba con un precedente que mantenía el criterio anterior a la nueva norma, asegurando el </w:t>
      </w:r>
      <w:proofErr w:type="spellStart"/>
      <w:r w:rsidRPr="00F94515">
        <w:rPr>
          <w:rFonts w:ascii="Arial" w:hAnsi="Arial" w:cs="Arial"/>
          <w:i/>
          <w:sz w:val="24"/>
          <w:szCs w:val="24"/>
          <w:lang w:val="es-MX"/>
        </w:rPr>
        <w:t>statu</w:t>
      </w:r>
      <w:r>
        <w:rPr>
          <w:rFonts w:ascii="Arial" w:hAnsi="Arial" w:cs="Arial"/>
          <w:i/>
          <w:sz w:val="24"/>
          <w:szCs w:val="24"/>
          <w:lang w:val="es-MX"/>
        </w:rPr>
        <w:t>s</w:t>
      </w:r>
      <w:proofErr w:type="spellEnd"/>
      <w:r w:rsidRPr="00F94515">
        <w:rPr>
          <w:rFonts w:ascii="Arial" w:hAnsi="Arial" w:cs="Arial"/>
          <w:i/>
          <w:sz w:val="24"/>
          <w:szCs w:val="24"/>
          <w:lang w:val="es-MX"/>
        </w:rPr>
        <w:t xml:space="preserve"> quo</w:t>
      </w:r>
      <w:r>
        <w:rPr>
          <w:rFonts w:ascii="Arial" w:hAnsi="Arial" w:cs="Arial"/>
          <w:sz w:val="24"/>
          <w:szCs w:val="24"/>
          <w:lang w:val="es-MX"/>
        </w:rPr>
        <w:t xml:space="preserve"> de la “tradición interpretativa” judicial.</w:t>
      </w:r>
      <w:r w:rsidRPr="00106C27">
        <w:rPr>
          <w:rFonts w:ascii="Arial" w:hAnsi="Arial" w:cs="Arial"/>
          <w:sz w:val="24"/>
          <w:szCs w:val="24"/>
          <w:lang w:val="es-MX"/>
        </w:rPr>
        <w:t xml:space="preserve"> </w:t>
      </w:r>
      <w:r>
        <w:rPr>
          <w:rFonts w:ascii="Arial" w:hAnsi="Arial" w:cs="Arial"/>
          <w:sz w:val="24"/>
          <w:szCs w:val="24"/>
          <w:lang w:val="es-MX"/>
        </w:rPr>
        <w:t xml:space="preserve"> Claramente, en este caso, al margen del derecho vigente.   </w:t>
      </w: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Pr="00F94515" w:rsidRDefault="00601100" w:rsidP="00601100">
      <w:pPr>
        <w:ind w:firstLine="1134"/>
        <w:jc w:val="both"/>
        <w:rPr>
          <w:rFonts w:ascii="Arial" w:hAnsi="Arial" w:cs="Arial"/>
          <w:sz w:val="24"/>
          <w:szCs w:val="24"/>
          <w:lang w:val="es-MX"/>
        </w:rPr>
      </w:pPr>
      <w:r w:rsidRPr="00106C27">
        <w:rPr>
          <w:rFonts w:ascii="Arial" w:hAnsi="Arial" w:cs="Arial"/>
          <w:sz w:val="24"/>
          <w:szCs w:val="24"/>
          <w:lang w:val="es-MX"/>
        </w:rPr>
        <w:t xml:space="preserve">Allí, </w:t>
      </w:r>
      <w:r>
        <w:rPr>
          <w:rFonts w:ascii="Arial" w:hAnsi="Arial" w:cs="Arial"/>
          <w:sz w:val="24"/>
          <w:szCs w:val="24"/>
          <w:lang w:val="es-MX"/>
        </w:rPr>
        <w:t xml:space="preserve">sostuve: </w:t>
      </w:r>
      <w:r w:rsidRPr="00106C27">
        <w:rPr>
          <w:rFonts w:ascii="Arial" w:hAnsi="Arial" w:cs="Arial"/>
          <w:i/>
          <w:sz w:val="24"/>
          <w:szCs w:val="24"/>
          <w:lang w:val="es-AR"/>
        </w:rPr>
        <w:t xml:space="preserve">“Esto nos lleva de regreso a los </w:t>
      </w:r>
      <w:proofErr w:type="spellStart"/>
      <w:r w:rsidRPr="00106C27">
        <w:rPr>
          <w:rFonts w:ascii="Arial" w:hAnsi="Arial" w:cs="Arial"/>
          <w:i/>
          <w:sz w:val="24"/>
          <w:szCs w:val="24"/>
          <w:lang w:val="es-AR"/>
        </w:rPr>
        <w:t>checks</w:t>
      </w:r>
      <w:proofErr w:type="spellEnd"/>
      <w:r w:rsidRPr="00106C27">
        <w:rPr>
          <w:rFonts w:ascii="Arial" w:hAnsi="Arial" w:cs="Arial"/>
          <w:i/>
          <w:sz w:val="24"/>
          <w:szCs w:val="24"/>
          <w:lang w:val="es-AR"/>
        </w:rPr>
        <w:t xml:space="preserve"> and balances. Si en un modelo como el nuestro, de tipo continental, con control difuso de constitucionalidad, los jueces no hacen su tarea sin temor a molestar al poder de turno, sea cual sea su color político, defendiendo la Constitución Nacional en sus exactos términos, se corre el riesgo de desvirtuar el sistema jurídico mismo. Es decir, convertirlo en la práctica en el referido </w:t>
      </w:r>
      <w:proofErr w:type="spellStart"/>
      <w:r w:rsidRPr="00106C27">
        <w:rPr>
          <w:rFonts w:ascii="Arial" w:hAnsi="Arial" w:cs="Arial"/>
          <w:i/>
          <w:sz w:val="24"/>
          <w:szCs w:val="24"/>
          <w:lang w:val="es-AR"/>
        </w:rPr>
        <w:t>Common</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Law</w:t>
      </w:r>
      <w:proofErr w:type="spellEnd"/>
      <w:r w:rsidRPr="00106C27">
        <w:rPr>
          <w:rFonts w:ascii="Arial" w:hAnsi="Arial" w:cs="Arial"/>
          <w:i/>
          <w:sz w:val="24"/>
          <w:szCs w:val="24"/>
          <w:lang w:val="es-AR"/>
        </w:rPr>
        <w:t xml:space="preserve">, donde desde un realismo jurídico (no positivismo, insisto), el derecho es lo que los jueces dicen que es (Holmes, Oliver </w:t>
      </w:r>
      <w:proofErr w:type="spellStart"/>
      <w:r w:rsidRPr="00106C27">
        <w:rPr>
          <w:rFonts w:ascii="Arial" w:hAnsi="Arial" w:cs="Arial"/>
          <w:i/>
          <w:sz w:val="24"/>
          <w:szCs w:val="24"/>
          <w:lang w:val="es-AR"/>
        </w:rPr>
        <w:t>Wendell</w:t>
      </w:r>
      <w:proofErr w:type="spellEnd"/>
      <w:r w:rsidRPr="00106C27">
        <w:rPr>
          <w:rFonts w:ascii="Arial" w:hAnsi="Arial" w:cs="Arial"/>
          <w:i/>
          <w:sz w:val="24"/>
          <w:szCs w:val="24"/>
          <w:lang w:val="es-AR"/>
        </w:rPr>
        <w:t xml:space="preserve"> Jr., </w:t>
      </w:r>
      <w:proofErr w:type="spellStart"/>
      <w:r w:rsidRPr="00106C27">
        <w:rPr>
          <w:rFonts w:ascii="Arial" w:hAnsi="Arial" w:cs="Arial"/>
          <w:i/>
          <w:sz w:val="24"/>
          <w:szCs w:val="24"/>
          <w:lang w:val="es-AR"/>
        </w:rPr>
        <w:t>Thepath</w:t>
      </w:r>
      <w:proofErr w:type="spellEnd"/>
      <w:r w:rsidRPr="00106C27">
        <w:rPr>
          <w:rFonts w:ascii="Arial" w:hAnsi="Arial" w:cs="Arial"/>
          <w:i/>
          <w:sz w:val="24"/>
          <w:szCs w:val="24"/>
          <w:lang w:val="es-AR"/>
        </w:rPr>
        <w:t xml:space="preserve"> of </w:t>
      </w:r>
      <w:proofErr w:type="spellStart"/>
      <w:r w:rsidRPr="00106C27">
        <w:rPr>
          <w:rFonts w:ascii="Arial" w:hAnsi="Arial" w:cs="Arial"/>
          <w:i/>
          <w:sz w:val="24"/>
          <w:szCs w:val="24"/>
          <w:lang w:val="es-AR"/>
        </w:rPr>
        <w:t>law</w:t>
      </w:r>
      <w:proofErr w:type="spellEnd"/>
      <w:r w:rsidRPr="00106C27">
        <w:rPr>
          <w:rFonts w:ascii="Arial" w:hAnsi="Arial" w:cs="Arial"/>
          <w:i/>
          <w:sz w:val="24"/>
          <w:szCs w:val="24"/>
          <w:lang w:val="es-AR"/>
        </w:rPr>
        <w:t xml:space="preserve">, 10 Harvard </w:t>
      </w:r>
      <w:proofErr w:type="spellStart"/>
      <w:r w:rsidRPr="00106C27">
        <w:rPr>
          <w:rFonts w:ascii="Arial" w:hAnsi="Arial" w:cs="Arial"/>
          <w:i/>
          <w:sz w:val="24"/>
          <w:szCs w:val="24"/>
          <w:lang w:val="es-AR"/>
        </w:rPr>
        <w:t>LawReview</w:t>
      </w:r>
      <w:proofErr w:type="spellEnd"/>
      <w:r w:rsidRPr="00106C27">
        <w:rPr>
          <w:rFonts w:ascii="Arial" w:hAnsi="Arial" w:cs="Arial"/>
          <w:i/>
          <w:sz w:val="24"/>
          <w:szCs w:val="24"/>
          <w:lang w:val="es-AR"/>
        </w:rPr>
        <w:t xml:space="preserve"> 457 (1897); </w:t>
      </w:r>
      <w:proofErr w:type="spellStart"/>
      <w:r w:rsidRPr="00106C27">
        <w:rPr>
          <w:rFonts w:ascii="Arial" w:hAnsi="Arial" w:cs="Arial"/>
          <w:i/>
          <w:sz w:val="24"/>
          <w:szCs w:val="24"/>
          <w:lang w:val="es-AR"/>
        </w:rPr>
        <w:lastRenderedPageBreak/>
        <w:t>Thepath</w:t>
      </w:r>
      <w:proofErr w:type="spellEnd"/>
      <w:r w:rsidRPr="00106C27">
        <w:rPr>
          <w:rFonts w:ascii="Arial" w:hAnsi="Arial" w:cs="Arial"/>
          <w:i/>
          <w:sz w:val="24"/>
          <w:szCs w:val="24"/>
          <w:lang w:val="es-AR"/>
        </w:rPr>
        <w:t xml:space="preserve"> of </w:t>
      </w:r>
      <w:proofErr w:type="spellStart"/>
      <w:r w:rsidRPr="00106C27">
        <w:rPr>
          <w:rFonts w:ascii="Arial" w:hAnsi="Arial" w:cs="Arial"/>
          <w:i/>
          <w:sz w:val="24"/>
          <w:szCs w:val="24"/>
          <w:lang w:val="es-AR"/>
        </w:rPr>
        <w:t>law</w:t>
      </w:r>
      <w:proofErr w:type="spellEnd"/>
      <w:r w:rsidRPr="00106C27">
        <w:rPr>
          <w:rFonts w:ascii="Arial" w:hAnsi="Arial" w:cs="Arial"/>
          <w:i/>
          <w:sz w:val="24"/>
          <w:szCs w:val="24"/>
          <w:lang w:val="es-AR"/>
        </w:rPr>
        <w:t xml:space="preserve"> and </w:t>
      </w:r>
      <w:proofErr w:type="spellStart"/>
      <w:r w:rsidRPr="00106C27">
        <w:rPr>
          <w:rFonts w:ascii="Arial" w:hAnsi="Arial" w:cs="Arial"/>
          <w:i/>
          <w:sz w:val="24"/>
          <w:szCs w:val="24"/>
          <w:lang w:val="es-AR"/>
        </w:rPr>
        <w:t>the</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common</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law</w:t>
      </w:r>
      <w:proofErr w:type="spellEnd"/>
      <w:r w:rsidRPr="00106C27">
        <w:rPr>
          <w:rFonts w:ascii="Arial" w:hAnsi="Arial" w:cs="Arial"/>
          <w:i/>
          <w:sz w:val="24"/>
          <w:szCs w:val="24"/>
          <w:lang w:val="es-AR"/>
        </w:rPr>
        <w:t xml:space="preserve">, Kaplan Publishing, New York, 2009; y la disputa </w:t>
      </w:r>
      <w:proofErr w:type="spellStart"/>
      <w:r w:rsidRPr="00106C27">
        <w:rPr>
          <w:rFonts w:ascii="Arial" w:hAnsi="Arial" w:cs="Arial"/>
          <w:i/>
          <w:sz w:val="24"/>
          <w:szCs w:val="24"/>
          <w:lang w:val="es-AR"/>
        </w:rPr>
        <w:t>Dworkin-Hart</w:t>
      </w:r>
      <w:proofErr w:type="spellEnd"/>
      <w:r w:rsidRPr="00106C27">
        <w:rPr>
          <w:rFonts w:ascii="Arial" w:hAnsi="Arial" w:cs="Arial"/>
          <w:i/>
          <w:sz w:val="24"/>
          <w:szCs w:val="24"/>
          <w:lang w:val="es-AR"/>
        </w:rPr>
        <w:t xml:space="preserve">, La decisión judicial: el debate </w:t>
      </w:r>
      <w:proofErr w:type="spellStart"/>
      <w:r w:rsidRPr="00106C27">
        <w:rPr>
          <w:rFonts w:ascii="Arial" w:hAnsi="Arial" w:cs="Arial"/>
          <w:i/>
          <w:sz w:val="24"/>
          <w:szCs w:val="24"/>
          <w:lang w:val="es-AR"/>
        </w:rPr>
        <w:t>Dworkin-Hart</w:t>
      </w:r>
      <w:proofErr w:type="spellEnd"/>
      <w:r w:rsidRPr="00106C27">
        <w:rPr>
          <w:rFonts w:ascii="Arial" w:hAnsi="Arial" w:cs="Arial"/>
          <w:i/>
          <w:sz w:val="24"/>
          <w:szCs w:val="24"/>
          <w:lang w:val="es-AR"/>
        </w:rPr>
        <w:t xml:space="preserve">, Siglo del Hombre Editores, Bogotá, 1997). Agrego: en clara vinculación, muchas veces, con los designios del Poder Político”. </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i/>
          <w:sz w:val="24"/>
          <w:szCs w:val="24"/>
          <w:lang w:val="es-AR"/>
        </w:rPr>
      </w:pPr>
      <w:r w:rsidRPr="00106C27">
        <w:rPr>
          <w:rFonts w:ascii="Arial" w:hAnsi="Arial" w:cs="Arial"/>
          <w:i/>
          <w:sz w:val="24"/>
          <w:szCs w:val="24"/>
          <w:lang w:val="es-AR"/>
        </w:rPr>
        <w:t xml:space="preserve">“Prueba de esto, es que la Corte Suprema de los Estados Unidos, ha podido dictar en absoluta contradicción, varios fallos. En éstos, lo llamativo es observar cómo, si bien la racionalidad del sistema se mantuvo intacta (existiendo en todos los casos que se mencionan a continuación la Primera Enmienda, sobre libertad de expresión), la Corte varió la resultante fáctica según los intereses del poder político”. </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i/>
          <w:sz w:val="24"/>
          <w:szCs w:val="24"/>
          <w:lang w:val="es-AR"/>
        </w:rPr>
      </w:pPr>
      <w:r w:rsidRPr="00106C27">
        <w:rPr>
          <w:rFonts w:ascii="Arial" w:hAnsi="Arial" w:cs="Arial"/>
          <w:i/>
          <w:sz w:val="24"/>
          <w:szCs w:val="24"/>
          <w:lang w:val="es-AR"/>
        </w:rPr>
        <w:t xml:space="preserve">“Solo como ejemplo, en </w:t>
      </w:r>
      <w:r w:rsidRPr="00106C27">
        <w:rPr>
          <w:rFonts w:ascii="Arial" w:hAnsi="Arial" w:cs="Arial"/>
          <w:b/>
          <w:i/>
          <w:sz w:val="24"/>
          <w:szCs w:val="24"/>
          <w:lang w:val="es-AR"/>
        </w:rPr>
        <w:t xml:space="preserve">Dennis v. </w:t>
      </w:r>
      <w:proofErr w:type="spellStart"/>
      <w:r w:rsidRPr="00106C27">
        <w:rPr>
          <w:rFonts w:ascii="Arial" w:hAnsi="Arial" w:cs="Arial"/>
          <w:b/>
          <w:i/>
          <w:sz w:val="24"/>
          <w:szCs w:val="24"/>
          <w:lang w:val="es-AR"/>
        </w:rPr>
        <w:t>United</w:t>
      </w:r>
      <w:proofErr w:type="spellEnd"/>
      <w:r w:rsidRPr="00106C27">
        <w:rPr>
          <w:rFonts w:ascii="Arial" w:hAnsi="Arial" w:cs="Arial"/>
          <w:b/>
          <w:i/>
          <w:sz w:val="24"/>
          <w:szCs w:val="24"/>
          <w:lang w:val="es-AR"/>
        </w:rPr>
        <w:t xml:space="preserve"> </w:t>
      </w:r>
      <w:proofErr w:type="spellStart"/>
      <w:r w:rsidRPr="00106C27">
        <w:rPr>
          <w:rFonts w:ascii="Arial" w:hAnsi="Arial" w:cs="Arial"/>
          <w:b/>
          <w:i/>
          <w:sz w:val="24"/>
          <w:szCs w:val="24"/>
          <w:lang w:val="es-AR"/>
        </w:rPr>
        <w:t>States</w:t>
      </w:r>
      <w:proofErr w:type="spellEnd"/>
      <w:r w:rsidRPr="00106C27">
        <w:rPr>
          <w:rFonts w:ascii="Arial" w:hAnsi="Arial" w:cs="Arial"/>
          <w:i/>
          <w:sz w:val="24"/>
          <w:szCs w:val="24"/>
          <w:lang w:val="es-AR"/>
        </w:rPr>
        <w:t>(1951</w:t>
      </w:r>
      <w:r w:rsidRPr="00106C27">
        <w:rPr>
          <w:rFonts w:ascii="Arial" w:hAnsi="Arial" w:cs="Arial"/>
          <w:b/>
          <w:i/>
          <w:sz w:val="24"/>
          <w:szCs w:val="24"/>
          <w:lang w:val="es-AR"/>
        </w:rPr>
        <w:t xml:space="preserve">, </w:t>
      </w:r>
      <w:r w:rsidRPr="00106C27">
        <w:rPr>
          <w:rFonts w:ascii="Arial" w:hAnsi="Arial" w:cs="Arial"/>
          <w:i/>
          <w:sz w:val="24"/>
          <w:szCs w:val="24"/>
          <w:lang w:val="es-AR"/>
        </w:rPr>
        <w:t>bajo la presidencia del demócrata Harry S. Truman, y el imperio de la Comisión de Control sobre actividades subversivas</w:t>
      </w:r>
      <w:r w:rsidRPr="00106C27">
        <w:rPr>
          <w:rFonts w:ascii="Arial" w:hAnsi="Arial" w:cs="Arial"/>
          <w:b/>
          <w:i/>
          <w:sz w:val="24"/>
          <w:szCs w:val="24"/>
          <w:lang w:val="es-AR"/>
        </w:rPr>
        <w:t xml:space="preserve">) </w:t>
      </w:r>
      <w:r w:rsidRPr="00106C27">
        <w:rPr>
          <w:rFonts w:ascii="Arial" w:hAnsi="Arial" w:cs="Arial"/>
          <w:i/>
          <w:sz w:val="24"/>
          <w:szCs w:val="24"/>
          <w:lang w:val="es-AR"/>
        </w:rPr>
        <w:t xml:space="preserve">el acusado había organizado, en pleno macartismo, el partido comunista; por tal accionar, la Corte consideró que existía un </w:t>
      </w:r>
      <w:r w:rsidRPr="00106C27">
        <w:rPr>
          <w:rFonts w:ascii="Arial" w:hAnsi="Arial" w:cs="Arial"/>
          <w:b/>
          <w:i/>
          <w:sz w:val="24"/>
          <w:szCs w:val="24"/>
          <w:lang w:val="es-AR"/>
        </w:rPr>
        <w:t xml:space="preserve">peligro sustancial, </w:t>
      </w:r>
      <w:r w:rsidRPr="00106C27">
        <w:rPr>
          <w:rFonts w:ascii="Arial" w:hAnsi="Arial" w:cs="Arial"/>
          <w:i/>
          <w:sz w:val="24"/>
          <w:szCs w:val="24"/>
          <w:lang w:val="es-AR"/>
        </w:rPr>
        <w:t xml:space="preserve">en virtud del cual no importaba la cercanía del éxito de la acción (el hecho de tomar el poder por la fuerza) ni su posibilidad de concreción, de todos modos la acción era tenida por punible; mientras que en </w:t>
      </w:r>
      <w:proofErr w:type="spellStart"/>
      <w:r w:rsidRPr="00106C27">
        <w:rPr>
          <w:rFonts w:ascii="Arial" w:hAnsi="Arial" w:cs="Arial"/>
          <w:b/>
          <w:i/>
          <w:sz w:val="24"/>
          <w:szCs w:val="24"/>
          <w:lang w:val="es-AR"/>
        </w:rPr>
        <w:t>Brandenburg</w:t>
      </w:r>
      <w:proofErr w:type="spellEnd"/>
      <w:r w:rsidRPr="00106C27">
        <w:rPr>
          <w:rFonts w:ascii="Arial" w:hAnsi="Arial" w:cs="Arial"/>
          <w:b/>
          <w:i/>
          <w:sz w:val="24"/>
          <w:szCs w:val="24"/>
          <w:lang w:val="es-AR"/>
        </w:rPr>
        <w:t xml:space="preserve"> v. Ohio </w:t>
      </w:r>
      <w:r w:rsidRPr="00106C27">
        <w:rPr>
          <w:rFonts w:ascii="Arial" w:hAnsi="Arial" w:cs="Arial"/>
          <w:i/>
          <w:sz w:val="24"/>
          <w:szCs w:val="24"/>
          <w:lang w:val="es-AR"/>
        </w:rPr>
        <w:t>(1969</w:t>
      </w:r>
      <w:r w:rsidRPr="00106C27">
        <w:rPr>
          <w:rFonts w:ascii="Arial" w:hAnsi="Arial" w:cs="Arial"/>
          <w:b/>
          <w:i/>
          <w:sz w:val="24"/>
          <w:szCs w:val="24"/>
          <w:lang w:val="es-AR"/>
        </w:rPr>
        <w:t>,</w:t>
      </w:r>
      <w:r w:rsidRPr="00106C27">
        <w:rPr>
          <w:rFonts w:ascii="Arial" w:hAnsi="Arial" w:cs="Arial"/>
          <w:i/>
          <w:sz w:val="24"/>
          <w:szCs w:val="24"/>
          <w:lang w:val="es-AR"/>
        </w:rPr>
        <w:t xml:space="preserve"> durante el mandato del republicano Richard Nixon, a seis meses del asesinato del demócrata Robert Kennedy y a casi seis años del de su hermano, el también demócrata John </w:t>
      </w:r>
      <w:proofErr w:type="spellStart"/>
      <w:r w:rsidRPr="00106C27">
        <w:rPr>
          <w:rFonts w:ascii="Arial" w:hAnsi="Arial" w:cs="Arial"/>
          <w:i/>
          <w:sz w:val="24"/>
          <w:szCs w:val="24"/>
          <w:lang w:val="es-AR"/>
        </w:rPr>
        <w:t>Fitzgerald</w:t>
      </w:r>
      <w:proofErr w:type="spellEnd"/>
      <w:r w:rsidRPr="00106C27">
        <w:rPr>
          <w:rFonts w:ascii="Arial" w:hAnsi="Arial" w:cs="Arial"/>
          <w:i/>
          <w:sz w:val="24"/>
          <w:szCs w:val="24"/>
          <w:lang w:val="es-AR"/>
        </w:rPr>
        <w:t xml:space="preserve"> Kennedy</w:t>
      </w:r>
      <w:r w:rsidRPr="00106C27">
        <w:rPr>
          <w:rFonts w:ascii="Arial" w:hAnsi="Arial" w:cs="Arial"/>
          <w:b/>
          <w:i/>
          <w:sz w:val="24"/>
          <w:szCs w:val="24"/>
          <w:lang w:val="es-AR"/>
        </w:rPr>
        <w:t>)</w:t>
      </w:r>
      <w:r w:rsidRPr="00106C27">
        <w:rPr>
          <w:rFonts w:ascii="Arial" w:hAnsi="Arial" w:cs="Arial"/>
          <w:i/>
          <w:sz w:val="24"/>
          <w:szCs w:val="24"/>
          <w:lang w:val="es-AR"/>
        </w:rPr>
        <w:t xml:space="preserve">, se dio el caso de que el </w:t>
      </w:r>
      <w:proofErr w:type="spellStart"/>
      <w:r w:rsidRPr="00106C27">
        <w:rPr>
          <w:rFonts w:ascii="Arial" w:hAnsi="Arial" w:cs="Arial"/>
          <w:i/>
          <w:sz w:val="24"/>
          <w:szCs w:val="24"/>
          <w:lang w:val="es-AR"/>
        </w:rPr>
        <w:t>Ku</w:t>
      </w:r>
      <w:proofErr w:type="spellEnd"/>
      <w:r>
        <w:rPr>
          <w:rFonts w:ascii="Arial" w:hAnsi="Arial" w:cs="Arial"/>
          <w:i/>
          <w:sz w:val="24"/>
          <w:szCs w:val="24"/>
          <w:lang w:val="es-AR"/>
        </w:rPr>
        <w:t xml:space="preserve"> </w:t>
      </w:r>
      <w:proofErr w:type="spellStart"/>
      <w:r w:rsidRPr="00106C27">
        <w:rPr>
          <w:rFonts w:ascii="Arial" w:hAnsi="Arial" w:cs="Arial"/>
          <w:i/>
          <w:sz w:val="24"/>
          <w:szCs w:val="24"/>
          <w:lang w:val="es-AR"/>
        </w:rPr>
        <w:t>Klux</w:t>
      </w:r>
      <w:proofErr w:type="spellEnd"/>
      <w:r>
        <w:rPr>
          <w:rFonts w:ascii="Arial" w:hAnsi="Arial" w:cs="Arial"/>
          <w:i/>
          <w:sz w:val="24"/>
          <w:szCs w:val="24"/>
          <w:lang w:val="es-AR"/>
        </w:rPr>
        <w:t xml:space="preserve"> </w:t>
      </w:r>
      <w:proofErr w:type="spellStart"/>
      <w:r w:rsidRPr="00106C27">
        <w:rPr>
          <w:rFonts w:ascii="Arial" w:hAnsi="Arial" w:cs="Arial"/>
          <w:i/>
          <w:sz w:val="24"/>
          <w:szCs w:val="24"/>
          <w:lang w:val="es-AR"/>
        </w:rPr>
        <w:t>Klan</w:t>
      </w:r>
      <w:proofErr w:type="spellEnd"/>
      <w:r w:rsidRPr="00106C27">
        <w:rPr>
          <w:rFonts w:ascii="Arial" w:hAnsi="Arial" w:cs="Arial"/>
          <w:i/>
          <w:sz w:val="24"/>
          <w:szCs w:val="24"/>
          <w:lang w:val="es-AR"/>
        </w:rPr>
        <w:t xml:space="preserve"> pronunciara varios discursos en los que proponía  “acometer a la acción” (siendo ésta una organización eminentemente racista, que ya había realizado matanzas, linchamientos y persecuciones); estas acciones, sin embargo, para la Corte no parecieron cumplir con el estándar de “peligro inminente”, siguiendo los vaivenes de la política interior y exterior norteamericana”. </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b/>
          <w:i/>
          <w:sz w:val="24"/>
          <w:szCs w:val="24"/>
          <w:lang w:val="es-AR"/>
        </w:rPr>
      </w:pPr>
      <w:r w:rsidRPr="00106C27">
        <w:rPr>
          <w:rFonts w:ascii="Arial" w:hAnsi="Arial" w:cs="Arial"/>
          <w:i/>
          <w:sz w:val="24"/>
          <w:szCs w:val="24"/>
          <w:lang w:val="es-AR"/>
        </w:rPr>
        <w:t>“Asimismo, en el curso de cien años la Corte pudo mantener fijo el mismo criterio que beneficiaba a la clase dominante aún en presencia de una modificación legislativa (</w:t>
      </w:r>
      <w:proofErr w:type="spellStart"/>
      <w:r w:rsidRPr="00106C27">
        <w:rPr>
          <w:rFonts w:ascii="Arial" w:hAnsi="Arial" w:cs="Arial"/>
          <w:i/>
          <w:sz w:val="24"/>
          <w:szCs w:val="24"/>
          <w:lang w:val="es-AR"/>
        </w:rPr>
        <w:t>affirmative</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action</w:t>
      </w:r>
      <w:proofErr w:type="spellEnd"/>
      <w:r w:rsidRPr="00106C27">
        <w:rPr>
          <w:rFonts w:ascii="Arial" w:hAnsi="Arial" w:cs="Arial"/>
          <w:i/>
          <w:sz w:val="24"/>
          <w:szCs w:val="24"/>
          <w:lang w:val="es-AR"/>
        </w:rPr>
        <w:t xml:space="preserve">), </w:t>
      </w:r>
      <w:r w:rsidRPr="00106C27">
        <w:rPr>
          <w:rFonts w:ascii="Arial" w:hAnsi="Arial" w:cs="Arial"/>
          <w:b/>
          <w:i/>
          <w:sz w:val="24"/>
          <w:szCs w:val="24"/>
          <w:lang w:val="es-AR"/>
        </w:rPr>
        <w:t>la cual se hizo necesaria en virtud del carácter eufemístico de la enmienda ya existente (14, sobre igualdad)”.</w:t>
      </w:r>
    </w:p>
    <w:p w:rsidR="00601100" w:rsidRPr="00106C27" w:rsidRDefault="00601100" w:rsidP="00601100">
      <w:pPr>
        <w:ind w:firstLine="1134"/>
        <w:jc w:val="both"/>
        <w:rPr>
          <w:rFonts w:ascii="Arial" w:hAnsi="Arial" w:cs="Arial"/>
          <w:b/>
          <w:i/>
          <w:sz w:val="24"/>
          <w:szCs w:val="24"/>
          <w:lang w:val="es-AR"/>
        </w:rPr>
      </w:pPr>
    </w:p>
    <w:p w:rsidR="00601100" w:rsidRPr="00106C27" w:rsidRDefault="00601100" w:rsidP="00601100">
      <w:pPr>
        <w:ind w:firstLine="1134"/>
        <w:jc w:val="both"/>
        <w:rPr>
          <w:rFonts w:ascii="Arial" w:hAnsi="Arial" w:cs="Arial"/>
          <w:b/>
          <w:i/>
          <w:sz w:val="24"/>
          <w:szCs w:val="24"/>
          <w:lang w:val="es-AR"/>
        </w:rPr>
      </w:pPr>
      <w:r w:rsidRPr="00106C27">
        <w:rPr>
          <w:rFonts w:ascii="Arial" w:hAnsi="Arial" w:cs="Arial"/>
          <w:i/>
          <w:sz w:val="24"/>
          <w:szCs w:val="24"/>
          <w:lang w:val="es-AR"/>
        </w:rPr>
        <w:t xml:space="preserve">“Así, antes de instalada la </w:t>
      </w:r>
      <w:proofErr w:type="spellStart"/>
      <w:r w:rsidRPr="00106C27">
        <w:rPr>
          <w:rFonts w:ascii="Arial" w:hAnsi="Arial" w:cs="Arial"/>
          <w:i/>
          <w:sz w:val="24"/>
          <w:szCs w:val="24"/>
          <w:lang w:val="es-AR"/>
        </w:rPr>
        <w:t>affirmative</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action</w:t>
      </w:r>
      <w:proofErr w:type="spellEnd"/>
      <w:r w:rsidRPr="00106C27">
        <w:rPr>
          <w:rFonts w:ascii="Arial" w:hAnsi="Arial" w:cs="Arial"/>
          <w:i/>
          <w:sz w:val="24"/>
          <w:szCs w:val="24"/>
          <w:lang w:val="es-AR"/>
        </w:rPr>
        <w:t xml:space="preserve"> en el universo normativo de la nación,  en la causa</w:t>
      </w:r>
      <w:r w:rsidRPr="00106C27">
        <w:rPr>
          <w:rFonts w:ascii="Arial" w:hAnsi="Arial" w:cs="Arial"/>
          <w:b/>
          <w:i/>
          <w:sz w:val="24"/>
          <w:szCs w:val="24"/>
          <w:lang w:val="es-AR"/>
        </w:rPr>
        <w:t xml:space="preserve">, </w:t>
      </w:r>
      <w:r w:rsidRPr="00106C27">
        <w:rPr>
          <w:rFonts w:ascii="Arial" w:hAnsi="Arial" w:cs="Arial"/>
          <w:i/>
          <w:sz w:val="24"/>
          <w:szCs w:val="24"/>
          <w:lang w:val="es-AR"/>
        </w:rPr>
        <w:t xml:space="preserve">se dio el caso </w:t>
      </w:r>
      <w:proofErr w:type="spellStart"/>
      <w:r w:rsidRPr="00106C27">
        <w:rPr>
          <w:rFonts w:ascii="Arial" w:hAnsi="Arial" w:cs="Arial"/>
          <w:b/>
          <w:i/>
          <w:sz w:val="24"/>
          <w:szCs w:val="24"/>
          <w:lang w:val="es-AR"/>
        </w:rPr>
        <w:t>Dred</w:t>
      </w:r>
      <w:proofErr w:type="spellEnd"/>
      <w:r w:rsidRPr="00106C27">
        <w:rPr>
          <w:rFonts w:ascii="Arial" w:hAnsi="Arial" w:cs="Arial"/>
          <w:b/>
          <w:i/>
          <w:sz w:val="24"/>
          <w:szCs w:val="24"/>
          <w:lang w:val="es-AR"/>
        </w:rPr>
        <w:t xml:space="preserve"> Scott v. </w:t>
      </w:r>
      <w:proofErr w:type="spellStart"/>
      <w:r w:rsidRPr="00106C27">
        <w:rPr>
          <w:rFonts w:ascii="Arial" w:hAnsi="Arial" w:cs="Arial"/>
          <w:b/>
          <w:i/>
          <w:sz w:val="24"/>
          <w:szCs w:val="24"/>
          <w:lang w:val="es-AR"/>
        </w:rPr>
        <w:t>Sandford</w:t>
      </w:r>
      <w:proofErr w:type="spellEnd"/>
      <w:r w:rsidRPr="00106C27">
        <w:rPr>
          <w:rFonts w:ascii="Arial" w:hAnsi="Arial" w:cs="Arial"/>
          <w:i/>
          <w:sz w:val="24"/>
          <w:szCs w:val="24"/>
          <w:lang w:val="es-AR"/>
        </w:rPr>
        <w:t>(1</w:t>
      </w:r>
      <w:r>
        <w:rPr>
          <w:rFonts w:ascii="Arial" w:hAnsi="Arial" w:cs="Arial"/>
          <w:i/>
          <w:sz w:val="24"/>
          <w:szCs w:val="24"/>
          <w:lang w:val="es-AR"/>
        </w:rPr>
        <w:t xml:space="preserve">852, durante la presidencia de </w:t>
      </w:r>
      <w:proofErr w:type="spellStart"/>
      <w:r w:rsidRPr="00106C27">
        <w:rPr>
          <w:rFonts w:ascii="Arial" w:hAnsi="Arial" w:cs="Arial"/>
          <w:i/>
          <w:sz w:val="24"/>
          <w:szCs w:val="24"/>
          <w:lang w:val="es-AR"/>
        </w:rPr>
        <w:t>Millard</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Filllmore</w:t>
      </w:r>
      <w:proofErr w:type="spellEnd"/>
      <w:r w:rsidRPr="00106C27">
        <w:rPr>
          <w:rFonts w:ascii="Arial" w:hAnsi="Arial" w:cs="Arial"/>
          <w:i/>
          <w:sz w:val="24"/>
          <w:szCs w:val="24"/>
          <w:lang w:val="es-AR"/>
        </w:rPr>
        <w:t>, primero antimasónico y luego whig), en el cual la Corte estadounidense falló que los estados no tenían potestad para decidir sobre la libertad o esclavitud de sus habitantes</w:t>
      </w:r>
      <w:r w:rsidRPr="00106C27">
        <w:rPr>
          <w:rFonts w:ascii="Arial" w:hAnsi="Arial" w:cs="Arial"/>
          <w:b/>
          <w:i/>
          <w:sz w:val="24"/>
          <w:szCs w:val="24"/>
          <w:lang w:val="es-AR"/>
        </w:rPr>
        <w:t xml:space="preserve">, y en </w:t>
      </w:r>
      <w:proofErr w:type="spellStart"/>
      <w:r w:rsidRPr="00106C27">
        <w:rPr>
          <w:rFonts w:ascii="Arial" w:hAnsi="Arial" w:cs="Arial"/>
          <w:b/>
          <w:i/>
          <w:sz w:val="24"/>
          <w:szCs w:val="24"/>
          <w:lang w:val="es-AR"/>
        </w:rPr>
        <w:t>Plessy</w:t>
      </w:r>
      <w:proofErr w:type="spellEnd"/>
      <w:r w:rsidRPr="00106C27">
        <w:rPr>
          <w:rFonts w:ascii="Arial" w:hAnsi="Arial" w:cs="Arial"/>
          <w:b/>
          <w:i/>
          <w:sz w:val="24"/>
          <w:szCs w:val="24"/>
          <w:lang w:val="es-AR"/>
        </w:rPr>
        <w:t xml:space="preserve"> v. </w:t>
      </w:r>
      <w:proofErr w:type="spellStart"/>
      <w:r w:rsidRPr="00106C27">
        <w:rPr>
          <w:rFonts w:ascii="Arial" w:hAnsi="Arial" w:cs="Arial"/>
          <w:b/>
          <w:i/>
          <w:sz w:val="24"/>
          <w:szCs w:val="24"/>
          <w:lang w:val="es-AR"/>
        </w:rPr>
        <w:t>Ferguson</w:t>
      </w:r>
      <w:proofErr w:type="spellEnd"/>
      <w:r w:rsidRPr="00106C27">
        <w:rPr>
          <w:rFonts w:ascii="Arial" w:hAnsi="Arial" w:cs="Arial"/>
          <w:i/>
          <w:sz w:val="24"/>
          <w:szCs w:val="24"/>
          <w:lang w:val="es-AR"/>
        </w:rPr>
        <w:t xml:space="preserve">(1896, bajo la presidencia del demócrata </w:t>
      </w:r>
      <w:proofErr w:type="spellStart"/>
      <w:r w:rsidRPr="00106C27">
        <w:rPr>
          <w:rFonts w:ascii="Arial" w:hAnsi="Arial" w:cs="Arial"/>
          <w:i/>
          <w:sz w:val="24"/>
          <w:szCs w:val="24"/>
          <w:lang w:val="es-AR"/>
        </w:rPr>
        <w:t>Grover</w:t>
      </w:r>
      <w:proofErr w:type="spellEnd"/>
      <w:r w:rsidRPr="00106C27">
        <w:rPr>
          <w:rFonts w:ascii="Arial" w:hAnsi="Arial" w:cs="Arial"/>
          <w:i/>
          <w:sz w:val="24"/>
          <w:szCs w:val="24"/>
          <w:lang w:val="es-AR"/>
        </w:rPr>
        <w:t xml:space="preserve"> Cleveland)</w:t>
      </w:r>
      <w:r w:rsidRPr="00106C27">
        <w:rPr>
          <w:rFonts w:ascii="Arial" w:hAnsi="Arial" w:cs="Arial"/>
          <w:b/>
          <w:i/>
          <w:sz w:val="24"/>
          <w:szCs w:val="24"/>
          <w:lang w:val="es-AR"/>
        </w:rPr>
        <w:t xml:space="preserve">, </w:t>
      </w:r>
      <w:r w:rsidRPr="00106C27">
        <w:rPr>
          <w:rFonts w:ascii="Arial" w:hAnsi="Arial" w:cs="Arial"/>
          <w:i/>
          <w:sz w:val="24"/>
          <w:szCs w:val="24"/>
          <w:lang w:val="es-AR"/>
        </w:rPr>
        <w:t>en el que se indicó que sectores diferenciados para sentarse en los tranvías no constituían una violación del principio de igualdad, emergente de la ya referida Enmienda 14”.</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i/>
          <w:sz w:val="24"/>
          <w:szCs w:val="24"/>
          <w:lang w:val="es-AR"/>
        </w:rPr>
      </w:pPr>
      <w:r w:rsidRPr="00106C27">
        <w:rPr>
          <w:rFonts w:ascii="Arial" w:hAnsi="Arial" w:cs="Arial"/>
          <w:i/>
          <w:sz w:val="24"/>
          <w:szCs w:val="24"/>
          <w:lang w:val="es-AR"/>
        </w:rPr>
        <w:t xml:space="preserve">“Con posterioridad a tal modificación, increíblemente, en </w:t>
      </w:r>
      <w:proofErr w:type="spellStart"/>
      <w:r w:rsidRPr="00106C27">
        <w:rPr>
          <w:rFonts w:ascii="Arial" w:hAnsi="Arial" w:cs="Arial"/>
          <w:b/>
          <w:i/>
          <w:sz w:val="24"/>
          <w:szCs w:val="24"/>
          <w:lang w:val="es-AR"/>
        </w:rPr>
        <w:t>Hopwood</w:t>
      </w:r>
      <w:proofErr w:type="spellEnd"/>
      <w:r w:rsidRPr="00106C27">
        <w:rPr>
          <w:rFonts w:ascii="Arial" w:hAnsi="Arial" w:cs="Arial"/>
          <w:b/>
          <w:i/>
          <w:sz w:val="24"/>
          <w:szCs w:val="24"/>
          <w:lang w:val="es-AR"/>
        </w:rPr>
        <w:t xml:space="preserve"> v. Texas </w:t>
      </w:r>
      <w:r w:rsidRPr="00106C27">
        <w:rPr>
          <w:rFonts w:ascii="Arial" w:hAnsi="Arial" w:cs="Arial"/>
          <w:i/>
          <w:sz w:val="24"/>
          <w:szCs w:val="24"/>
          <w:lang w:val="es-AR"/>
        </w:rPr>
        <w:t>(1996, bajo la presidencia del demócrata Bill Clinton),</w:t>
      </w:r>
      <w:r>
        <w:rPr>
          <w:rFonts w:ascii="Arial" w:hAnsi="Arial" w:cs="Arial"/>
          <w:i/>
          <w:sz w:val="24"/>
          <w:szCs w:val="24"/>
          <w:lang w:val="es-AR"/>
        </w:rPr>
        <w:t xml:space="preserve"> </w:t>
      </w:r>
      <w:r w:rsidRPr="00106C27">
        <w:rPr>
          <w:rFonts w:ascii="Arial" w:hAnsi="Arial" w:cs="Arial"/>
          <w:i/>
          <w:sz w:val="24"/>
          <w:szCs w:val="24"/>
          <w:lang w:val="es-AR"/>
        </w:rPr>
        <w:t xml:space="preserve">donde la Corte falló en favor de lo que varios estudiantes blancos consideraron una medida discriminatoria: la referida </w:t>
      </w:r>
      <w:proofErr w:type="spellStart"/>
      <w:r w:rsidRPr="00106C27">
        <w:rPr>
          <w:rFonts w:ascii="Arial" w:hAnsi="Arial" w:cs="Arial"/>
          <w:i/>
          <w:sz w:val="24"/>
          <w:szCs w:val="24"/>
          <w:lang w:val="es-AR"/>
        </w:rPr>
        <w:t>affirmative</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action</w:t>
      </w:r>
      <w:proofErr w:type="spellEnd"/>
      <w:r w:rsidRPr="00106C27">
        <w:rPr>
          <w:rFonts w:ascii="Arial" w:hAnsi="Arial" w:cs="Arial"/>
          <w:i/>
          <w:sz w:val="24"/>
          <w:szCs w:val="24"/>
          <w:lang w:val="es-AR"/>
        </w:rPr>
        <w:t xml:space="preserve">. Es decir, se apoyó judicialmente su oposición vehemente a la existencia de un cupo mínimo en las facultades a ser ocupado por estudiantes afro-americanos”. </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i/>
          <w:sz w:val="24"/>
          <w:szCs w:val="24"/>
          <w:lang w:val="es-AR"/>
        </w:rPr>
      </w:pPr>
      <w:r w:rsidRPr="00106C27">
        <w:rPr>
          <w:rFonts w:ascii="Arial" w:hAnsi="Arial" w:cs="Arial"/>
          <w:i/>
          <w:sz w:val="24"/>
          <w:szCs w:val="24"/>
          <w:lang w:val="es-AR"/>
        </w:rPr>
        <w:t xml:space="preserve">“Con lo cual y resumiendo, fuera cual fuese el contenido normativo, podemos rastrear a lo largo de nada menos que cien años, tantas variaciones judiciales, como fuera necesario hacer para satisfacer el </w:t>
      </w:r>
      <w:proofErr w:type="spellStart"/>
      <w:r w:rsidRPr="00106C27">
        <w:rPr>
          <w:rFonts w:ascii="Arial" w:hAnsi="Arial" w:cs="Arial"/>
          <w:i/>
          <w:sz w:val="24"/>
          <w:szCs w:val="24"/>
          <w:lang w:val="es-AR"/>
        </w:rPr>
        <w:t>establishment</w:t>
      </w:r>
      <w:proofErr w:type="spellEnd"/>
      <w:r w:rsidRPr="00106C27">
        <w:rPr>
          <w:rFonts w:ascii="Arial" w:hAnsi="Arial" w:cs="Arial"/>
          <w:i/>
          <w:sz w:val="24"/>
          <w:szCs w:val="24"/>
          <w:lang w:val="es-AR"/>
        </w:rPr>
        <w:t xml:space="preserve">. Con lo que queda claro que un sistema jurídico de </w:t>
      </w:r>
      <w:proofErr w:type="spellStart"/>
      <w:r w:rsidRPr="00106C27">
        <w:rPr>
          <w:rFonts w:ascii="Arial" w:hAnsi="Arial" w:cs="Arial"/>
          <w:i/>
          <w:sz w:val="24"/>
          <w:szCs w:val="24"/>
          <w:lang w:val="es-AR"/>
        </w:rPr>
        <w:lastRenderedPageBreak/>
        <w:t>Common</w:t>
      </w:r>
      <w:proofErr w:type="spellEnd"/>
      <w:r w:rsidRPr="00106C27">
        <w:rPr>
          <w:rFonts w:ascii="Arial" w:hAnsi="Arial" w:cs="Arial"/>
          <w:i/>
          <w:sz w:val="24"/>
          <w:szCs w:val="24"/>
          <w:lang w:val="es-AR"/>
        </w:rPr>
        <w:t xml:space="preserve"> </w:t>
      </w:r>
      <w:proofErr w:type="spellStart"/>
      <w:r w:rsidRPr="00106C27">
        <w:rPr>
          <w:rFonts w:ascii="Arial" w:hAnsi="Arial" w:cs="Arial"/>
          <w:i/>
          <w:sz w:val="24"/>
          <w:szCs w:val="24"/>
          <w:lang w:val="es-AR"/>
        </w:rPr>
        <w:t>Law</w:t>
      </w:r>
      <w:proofErr w:type="spellEnd"/>
      <w:r w:rsidRPr="00106C27">
        <w:rPr>
          <w:rFonts w:ascii="Arial" w:hAnsi="Arial" w:cs="Arial"/>
          <w:i/>
          <w:sz w:val="24"/>
          <w:szCs w:val="24"/>
          <w:lang w:val="es-AR"/>
        </w:rPr>
        <w:t>, resulta mucho más vulnerable a las presiones del poder, que al imperio del derecho”.</w:t>
      </w:r>
    </w:p>
    <w:p w:rsidR="00601100" w:rsidRPr="00106C27" w:rsidRDefault="00601100" w:rsidP="00601100">
      <w:pPr>
        <w:ind w:firstLine="1134"/>
        <w:jc w:val="both"/>
        <w:rPr>
          <w:rFonts w:ascii="Arial" w:hAnsi="Arial" w:cs="Arial"/>
          <w:i/>
          <w:sz w:val="24"/>
          <w:szCs w:val="24"/>
          <w:lang w:val="es-AR"/>
        </w:rPr>
      </w:pPr>
    </w:p>
    <w:p w:rsidR="00601100" w:rsidRPr="00106C27" w:rsidRDefault="00601100" w:rsidP="00601100">
      <w:pPr>
        <w:ind w:firstLine="1134"/>
        <w:jc w:val="both"/>
        <w:rPr>
          <w:rFonts w:ascii="Arial" w:hAnsi="Arial" w:cs="Arial"/>
          <w:i/>
          <w:sz w:val="24"/>
          <w:szCs w:val="24"/>
          <w:lang w:val="es-AR"/>
        </w:rPr>
      </w:pPr>
      <w:r w:rsidRPr="00106C27">
        <w:rPr>
          <w:rFonts w:ascii="Arial" w:hAnsi="Arial" w:cs="Arial"/>
          <w:i/>
          <w:sz w:val="24"/>
          <w:szCs w:val="24"/>
          <w:lang w:val="es-AR"/>
        </w:rPr>
        <w:t xml:space="preserve">“De tal suerte, que lo que estamos mostrando es que el grado de </w:t>
      </w:r>
      <w:proofErr w:type="spellStart"/>
      <w:r w:rsidRPr="00106C27">
        <w:rPr>
          <w:rFonts w:ascii="Arial" w:hAnsi="Arial" w:cs="Arial"/>
          <w:i/>
          <w:sz w:val="24"/>
          <w:szCs w:val="24"/>
          <w:lang w:val="es-AR"/>
        </w:rPr>
        <w:t>opinabilidad</w:t>
      </w:r>
      <w:proofErr w:type="spellEnd"/>
      <w:r w:rsidRPr="00106C27">
        <w:rPr>
          <w:rFonts w:ascii="Arial" w:hAnsi="Arial" w:cs="Arial"/>
          <w:i/>
          <w:sz w:val="24"/>
          <w:szCs w:val="24"/>
          <w:lang w:val="es-AR"/>
        </w:rPr>
        <w:t xml:space="preserve"> y de subjetividad en un modelo continental como el nuestro y de control difuso, no tiene la amplitud que se quiere hacer creer, siempre y cuando se respete la racionalidad del sistema. Porque lo que estamos debatiendo en este punto no es “</w:t>
      </w:r>
      <w:r w:rsidRPr="00106C27">
        <w:rPr>
          <w:rFonts w:ascii="Arial" w:hAnsi="Arial" w:cs="Arial"/>
          <w:b/>
          <w:i/>
          <w:sz w:val="24"/>
          <w:szCs w:val="24"/>
          <w:lang w:val="es-AR"/>
        </w:rPr>
        <w:t>cómo hacen derecho los operadores jurídicos</w:t>
      </w:r>
      <w:r w:rsidRPr="00106C27">
        <w:rPr>
          <w:rFonts w:ascii="Arial" w:hAnsi="Arial" w:cs="Arial"/>
          <w:i/>
          <w:sz w:val="24"/>
          <w:szCs w:val="24"/>
          <w:lang w:val="es-AR"/>
        </w:rPr>
        <w:t>”, sino si el derecho habilita esto que hacen”.</w:t>
      </w:r>
    </w:p>
    <w:p w:rsidR="00601100" w:rsidRPr="00106C27"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MX"/>
        </w:rPr>
      </w:pPr>
      <w:r w:rsidRPr="00106C27">
        <w:rPr>
          <w:rFonts w:ascii="Arial" w:hAnsi="Arial" w:cs="Arial"/>
          <w:sz w:val="24"/>
          <w:szCs w:val="24"/>
          <w:lang w:val="es-MX"/>
        </w:rPr>
        <w:t xml:space="preserve"> Asimismo, dicha discrecionalidad se observa claramente, en el caso del incidente Bahía de </w:t>
      </w:r>
      <w:r>
        <w:rPr>
          <w:rFonts w:ascii="Arial" w:hAnsi="Arial" w:cs="Arial"/>
          <w:sz w:val="24"/>
          <w:szCs w:val="24"/>
          <w:lang w:val="es-MX"/>
        </w:rPr>
        <w:t xml:space="preserve">los </w:t>
      </w:r>
      <w:r w:rsidRPr="00106C27">
        <w:rPr>
          <w:rFonts w:ascii="Arial" w:hAnsi="Arial" w:cs="Arial"/>
          <w:sz w:val="24"/>
          <w:szCs w:val="24"/>
          <w:lang w:val="es-MX"/>
        </w:rPr>
        <w:t>Cochinos, cuando durante 5 años la Corte de los EE.UU. dictó resoluciones contradictorias entre sí, con el mismo marco normativo, siguiendo los vaivenes de la guerra fría, que se entibiaba a veces, y otras se congelaba.</w:t>
      </w:r>
    </w:p>
    <w:p w:rsidR="00601100" w:rsidRPr="00106C27"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sidRPr="00106C27">
        <w:rPr>
          <w:rFonts w:ascii="Arial" w:hAnsi="Arial" w:cs="Arial"/>
          <w:sz w:val="24"/>
          <w:szCs w:val="24"/>
          <w:lang w:val="es-MX"/>
        </w:rPr>
        <w:t>En ambos casos, soluciones alejadas del derecho, y cercanas a la política. Con una diferencia: en los EE.UU. en la mayoría de los esta</w:t>
      </w:r>
      <w:r>
        <w:rPr>
          <w:rFonts w:ascii="Arial" w:hAnsi="Arial" w:cs="Arial"/>
          <w:sz w:val="24"/>
          <w:szCs w:val="24"/>
          <w:lang w:val="es-MX"/>
        </w:rPr>
        <w:t>dos que integran la Unión y la C</w:t>
      </w:r>
      <w:r w:rsidRPr="00106C27">
        <w:rPr>
          <w:rFonts w:ascii="Arial" w:hAnsi="Arial" w:cs="Arial"/>
          <w:sz w:val="24"/>
          <w:szCs w:val="24"/>
          <w:lang w:val="es-MX"/>
        </w:rPr>
        <w:t>or</w:t>
      </w:r>
      <w:r>
        <w:rPr>
          <w:rFonts w:ascii="Arial" w:hAnsi="Arial" w:cs="Arial"/>
          <w:sz w:val="24"/>
          <w:szCs w:val="24"/>
          <w:lang w:val="es-MX"/>
        </w:rPr>
        <w:t>te misma, el modelo lo permite.</w:t>
      </w:r>
    </w:p>
    <w:p w:rsidR="00601100" w:rsidRDefault="00601100" w:rsidP="00601100">
      <w:pPr>
        <w:ind w:firstLine="1134"/>
        <w:jc w:val="both"/>
        <w:rPr>
          <w:rFonts w:ascii="Arial" w:hAnsi="Arial" w:cs="Arial"/>
          <w:sz w:val="24"/>
          <w:szCs w:val="24"/>
          <w:lang w:val="es-MX"/>
        </w:rPr>
      </w:pPr>
    </w:p>
    <w:p w:rsidR="00601100" w:rsidRPr="00DF71AD" w:rsidRDefault="00601100" w:rsidP="00601100">
      <w:pPr>
        <w:ind w:firstLine="1134"/>
        <w:jc w:val="both"/>
        <w:rPr>
          <w:rFonts w:ascii="Arial" w:hAnsi="Arial" w:cs="Arial"/>
          <w:b/>
          <w:sz w:val="24"/>
          <w:szCs w:val="24"/>
          <w:lang w:val="es-MX"/>
        </w:rPr>
      </w:pPr>
      <w:r w:rsidRPr="003C351F">
        <w:rPr>
          <w:rFonts w:ascii="Arial" w:hAnsi="Arial" w:cs="Arial"/>
          <w:sz w:val="24"/>
          <w:szCs w:val="24"/>
          <w:lang w:val="es-MX"/>
        </w:rPr>
        <w:t>Retomando el tema que hoy nos convoca, todo lo dicho debe ser recordado con ahínco, porque aun en un sistema con esas características,</w:t>
      </w:r>
      <w:r>
        <w:rPr>
          <w:rFonts w:ascii="Arial" w:hAnsi="Arial" w:cs="Arial"/>
          <w:sz w:val="24"/>
          <w:szCs w:val="24"/>
          <w:lang w:val="es-MX"/>
        </w:rPr>
        <w:t xml:space="preserve"> llamativamente la Corte Norteamericana entiende </w:t>
      </w:r>
      <w:r w:rsidRPr="00DF71AD">
        <w:rPr>
          <w:rFonts w:ascii="Arial" w:hAnsi="Arial" w:cs="Arial"/>
          <w:b/>
          <w:sz w:val="24"/>
          <w:szCs w:val="24"/>
          <w:lang w:val="es-MX"/>
        </w:rPr>
        <w:t>que la jurisdicción primaria debe ser limitada según la materia.</w:t>
      </w: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 </w:t>
      </w:r>
    </w:p>
    <w:p w:rsidR="00601100" w:rsidRDefault="00601100" w:rsidP="00601100">
      <w:pPr>
        <w:ind w:firstLine="1134"/>
        <w:jc w:val="both"/>
        <w:rPr>
          <w:rFonts w:ascii="Arial" w:hAnsi="Arial" w:cs="Arial"/>
        </w:rPr>
      </w:pPr>
      <w:r>
        <w:rPr>
          <w:rFonts w:ascii="Arial" w:hAnsi="Arial" w:cs="Arial"/>
          <w:sz w:val="24"/>
          <w:szCs w:val="24"/>
          <w:lang w:val="es-MX"/>
        </w:rPr>
        <w:t xml:space="preserve">Así, el fallo “Ángel Estrada” muestra </w:t>
      </w:r>
      <w:r w:rsidRPr="00FD0578">
        <w:rPr>
          <w:rFonts w:ascii="Arial" w:hAnsi="Arial" w:cs="Arial"/>
          <w:sz w:val="24"/>
          <w:szCs w:val="24"/>
          <w:lang w:val="es-MX"/>
        </w:rPr>
        <w:t xml:space="preserve">las decisiones del máximo tribunal del país del norte, en dos momentos históricos. La doctrina de los casos </w:t>
      </w:r>
      <w:r w:rsidRPr="00FD0578">
        <w:rPr>
          <w:rFonts w:ascii="Arial" w:hAnsi="Arial" w:cs="Arial"/>
          <w:i/>
          <w:sz w:val="24"/>
          <w:szCs w:val="24"/>
          <w:lang w:val="es-MX"/>
        </w:rPr>
        <w:t>Texas &amp;</w:t>
      </w:r>
      <w:r>
        <w:rPr>
          <w:rFonts w:ascii="Arial" w:hAnsi="Arial" w:cs="Arial"/>
          <w:i/>
          <w:sz w:val="24"/>
          <w:szCs w:val="24"/>
          <w:lang w:val="es-MX"/>
        </w:rPr>
        <w:t xml:space="preserve"> </w:t>
      </w:r>
      <w:proofErr w:type="spellStart"/>
      <w:r w:rsidRPr="00FD0578">
        <w:rPr>
          <w:rFonts w:ascii="Arial" w:hAnsi="Arial" w:cs="Arial"/>
          <w:i/>
          <w:sz w:val="24"/>
          <w:szCs w:val="24"/>
          <w:lang w:val="es-MX"/>
        </w:rPr>
        <w:t>Pacific</w:t>
      </w:r>
      <w:proofErr w:type="spellEnd"/>
      <w:r w:rsidRPr="00FD0578">
        <w:rPr>
          <w:rFonts w:ascii="Arial" w:hAnsi="Arial" w:cs="Arial"/>
          <w:i/>
          <w:sz w:val="24"/>
          <w:szCs w:val="24"/>
          <w:lang w:val="es-MX"/>
        </w:rPr>
        <w:t xml:space="preserve"> </w:t>
      </w:r>
      <w:proofErr w:type="spellStart"/>
      <w:r w:rsidRPr="00FD0578">
        <w:rPr>
          <w:rFonts w:ascii="Arial" w:hAnsi="Arial" w:cs="Arial"/>
          <w:i/>
          <w:sz w:val="24"/>
          <w:szCs w:val="24"/>
          <w:lang w:val="es-MX"/>
        </w:rPr>
        <w:t>Railway</w:t>
      </w:r>
      <w:proofErr w:type="spellEnd"/>
      <w:r w:rsidRPr="00FD0578">
        <w:rPr>
          <w:rFonts w:ascii="Arial" w:hAnsi="Arial" w:cs="Arial"/>
          <w:i/>
          <w:sz w:val="24"/>
          <w:szCs w:val="24"/>
          <w:lang w:val="es-MX"/>
        </w:rPr>
        <w:t xml:space="preserve"> v. Abilene Cotton </w:t>
      </w:r>
      <w:proofErr w:type="spellStart"/>
      <w:r w:rsidRPr="00FD0578">
        <w:rPr>
          <w:rFonts w:ascii="Arial" w:hAnsi="Arial" w:cs="Arial"/>
          <w:i/>
          <w:sz w:val="24"/>
          <w:szCs w:val="24"/>
          <w:lang w:val="es-MX"/>
        </w:rPr>
        <w:t>Oil</w:t>
      </w:r>
      <w:proofErr w:type="spellEnd"/>
      <w:r w:rsidRPr="00FD0578">
        <w:rPr>
          <w:rFonts w:ascii="Arial" w:hAnsi="Arial" w:cs="Arial"/>
          <w:i/>
          <w:sz w:val="24"/>
          <w:szCs w:val="24"/>
          <w:lang w:val="es-MX"/>
        </w:rPr>
        <w:t xml:space="preserve">.; </w:t>
      </w:r>
      <w:proofErr w:type="spellStart"/>
      <w:r w:rsidRPr="00FD0578">
        <w:rPr>
          <w:rFonts w:ascii="Arial" w:hAnsi="Arial" w:cs="Arial"/>
          <w:i/>
          <w:sz w:val="24"/>
          <w:szCs w:val="24"/>
          <w:lang w:val="es-MX"/>
        </w:rPr>
        <w:t>Far</w:t>
      </w:r>
      <w:proofErr w:type="spellEnd"/>
      <w:r w:rsidRPr="00FD0578">
        <w:rPr>
          <w:rFonts w:ascii="Arial" w:hAnsi="Arial" w:cs="Arial"/>
          <w:i/>
          <w:sz w:val="24"/>
          <w:szCs w:val="24"/>
          <w:lang w:val="es-MX"/>
        </w:rPr>
        <w:t xml:space="preserve"> East </w:t>
      </w:r>
      <w:proofErr w:type="spellStart"/>
      <w:r w:rsidRPr="00FD0578">
        <w:rPr>
          <w:rFonts w:ascii="Arial" w:hAnsi="Arial" w:cs="Arial"/>
          <w:i/>
          <w:sz w:val="24"/>
          <w:szCs w:val="24"/>
          <w:lang w:val="es-MX"/>
        </w:rPr>
        <w:t>Conference</w:t>
      </w:r>
      <w:proofErr w:type="spellEnd"/>
      <w:r w:rsidRPr="00FD0578">
        <w:rPr>
          <w:rFonts w:ascii="Arial" w:hAnsi="Arial" w:cs="Arial"/>
          <w:i/>
          <w:sz w:val="24"/>
          <w:szCs w:val="24"/>
          <w:lang w:val="es-MX"/>
        </w:rPr>
        <w:t xml:space="preserve"> v. </w:t>
      </w:r>
      <w:proofErr w:type="spellStart"/>
      <w:r w:rsidRPr="00FD0578">
        <w:rPr>
          <w:rFonts w:ascii="Arial" w:hAnsi="Arial" w:cs="Arial"/>
          <w:i/>
          <w:sz w:val="24"/>
          <w:szCs w:val="24"/>
          <w:lang w:val="es-MX"/>
        </w:rPr>
        <w:t>United</w:t>
      </w:r>
      <w:proofErr w:type="spellEnd"/>
      <w:r w:rsidRPr="00FD0578">
        <w:rPr>
          <w:rFonts w:ascii="Arial" w:hAnsi="Arial" w:cs="Arial"/>
          <w:i/>
          <w:sz w:val="24"/>
          <w:szCs w:val="24"/>
          <w:lang w:val="es-MX"/>
        </w:rPr>
        <w:t xml:space="preserve"> </w:t>
      </w:r>
      <w:proofErr w:type="spellStart"/>
      <w:r w:rsidRPr="00FD0578">
        <w:rPr>
          <w:rFonts w:ascii="Arial" w:hAnsi="Arial" w:cs="Arial"/>
          <w:i/>
          <w:sz w:val="24"/>
          <w:szCs w:val="24"/>
          <w:lang w:val="es-MX"/>
        </w:rPr>
        <w:t>States</w:t>
      </w:r>
      <w:proofErr w:type="spellEnd"/>
      <w:r w:rsidRPr="00FD0578">
        <w:rPr>
          <w:rFonts w:ascii="Arial" w:hAnsi="Arial" w:cs="Arial"/>
          <w:i/>
          <w:sz w:val="24"/>
          <w:szCs w:val="24"/>
          <w:lang w:val="es-MX"/>
        </w:rPr>
        <w:t xml:space="preserve">; </w:t>
      </w:r>
      <w:proofErr w:type="spellStart"/>
      <w:r w:rsidRPr="00FD0578">
        <w:rPr>
          <w:rFonts w:ascii="Arial" w:hAnsi="Arial" w:cs="Arial"/>
          <w:i/>
          <w:sz w:val="24"/>
          <w:szCs w:val="24"/>
          <w:lang w:val="es-MX"/>
        </w:rPr>
        <w:t>Weinberger</w:t>
      </w:r>
      <w:proofErr w:type="spellEnd"/>
      <w:r w:rsidRPr="00FD0578">
        <w:rPr>
          <w:rFonts w:ascii="Arial" w:hAnsi="Arial" w:cs="Arial"/>
          <w:i/>
          <w:sz w:val="24"/>
          <w:szCs w:val="24"/>
          <w:lang w:val="es-MX"/>
        </w:rPr>
        <w:t xml:space="preserve"> v. </w:t>
      </w:r>
      <w:proofErr w:type="spellStart"/>
      <w:r w:rsidRPr="00FD0578">
        <w:rPr>
          <w:rFonts w:ascii="Arial" w:hAnsi="Arial" w:cs="Arial"/>
          <w:i/>
          <w:sz w:val="24"/>
          <w:szCs w:val="24"/>
          <w:lang w:val="es-MX"/>
        </w:rPr>
        <w:t>Bentex</w:t>
      </w:r>
      <w:proofErr w:type="spellEnd"/>
      <w:r w:rsidRPr="00FD0578">
        <w:rPr>
          <w:rFonts w:ascii="Arial" w:hAnsi="Arial" w:cs="Arial"/>
          <w:i/>
          <w:sz w:val="24"/>
          <w:szCs w:val="24"/>
          <w:lang w:val="es-MX"/>
        </w:rPr>
        <w:t xml:space="preserve"> </w:t>
      </w:r>
      <w:proofErr w:type="spellStart"/>
      <w:r w:rsidRPr="00FD0578">
        <w:rPr>
          <w:rFonts w:ascii="Arial" w:hAnsi="Arial" w:cs="Arial"/>
          <w:i/>
          <w:sz w:val="24"/>
          <w:szCs w:val="24"/>
          <w:lang w:val="es-MX"/>
        </w:rPr>
        <w:t>Pharmaceuticals</w:t>
      </w:r>
      <w:proofErr w:type="spellEnd"/>
      <w:r w:rsidRPr="00FD0578">
        <w:rPr>
          <w:rFonts w:ascii="Arial" w:hAnsi="Arial" w:cs="Arial"/>
          <w:i/>
          <w:sz w:val="24"/>
          <w:szCs w:val="24"/>
          <w:lang w:val="es-MX"/>
        </w:rPr>
        <w:t>, Inc</w:t>
      </w:r>
      <w:r w:rsidRPr="00FD0578">
        <w:rPr>
          <w:rFonts w:ascii="Arial" w:hAnsi="Arial" w:cs="Arial"/>
          <w:sz w:val="24"/>
          <w:szCs w:val="24"/>
          <w:lang w:val="es-MX"/>
        </w:rPr>
        <w:t>.- que datan de 1907</w:t>
      </w:r>
      <w:r>
        <w:rPr>
          <w:rFonts w:ascii="Arial" w:hAnsi="Arial" w:cs="Arial"/>
          <w:sz w:val="24"/>
          <w:szCs w:val="24"/>
          <w:lang w:val="es-MX"/>
        </w:rPr>
        <w:t>, establecía</w:t>
      </w:r>
      <w:r w:rsidRPr="00FD0578">
        <w:rPr>
          <w:rFonts w:ascii="Arial" w:hAnsi="Arial" w:cs="Arial"/>
          <w:sz w:val="24"/>
          <w:szCs w:val="24"/>
          <w:lang w:val="es-MX"/>
        </w:rPr>
        <w:t xml:space="preserve"> que:</w:t>
      </w:r>
      <w:r>
        <w:rPr>
          <w:rFonts w:ascii="Arial" w:hAnsi="Arial" w:cs="Arial"/>
          <w:lang w:val="es-MX"/>
        </w:rPr>
        <w:t xml:space="preserve"> “</w:t>
      </w:r>
      <w:r w:rsidRPr="00FD0578">
        <w:rPr>
          <w:rFonts w:ascii="Courier New" w:hAnsi="Courier New" w:cs="Courier New"/>
        </w:rPr>
        <w:t xml:space="preserve">conviene recordar que la atribución de la jurisdicción primaria a organismos administrativos (doctrina tomada de E.E.U.U.) se justifica cuando la resolución de la controversia presuponga la familiaridad con hechos cuyo conocimiento haya sido confiado por la ley a </w:t>
      </w:r>
      <w:r w:rsidRPr="00FD0578">
        <w:rPr>
          <w:rFonts w:ascii="Courier New" w:hAnsi="Courier New" w:cs="Courier New"/>
          <w:b/>
        </w:rPr>
        <w:t>cuerpos expertos</w:t>
      </w:r>
      <w:r w:rsidRPr="00FD0578">
        <w:rPr>
          <w:rFonts w:ascii="Courier New" w:hAnsi="Courier New" w:cs="Courier New"/>
        </w:rPr>
        <w:t xml:space="preserve">, debido a que su dilucidación depende de la </w:t>
      </w:r>
      <w:r w:rsidRPr="00FD0578">
        <w:rPr>
          <w:rFonts w:ascii="Courier New" w:hAnsi="Courier New" w:cs="Courier New"/>
          <w:b/>
        </w:rPr>
        <w:t xml:space="preserve">experiencia técnica </w:t>
      </w:r>
      <w:r w:rsidRPr="00FD0578">
        <w:rPr>
          <w:rFonts w:ascii="Courier New" w:hAnsi="Courier New" w:cs="Courier New"/>
        </w:rPr>
        <w:t xml:space="preserve">de dichos cuerpos; o bien porque están en juego los </w:t>
      </w:r>
      <w:r w:rsidRPr="00FD0578">
        <w:rPr>
          <w:rFonts w:ascii="Courier New" w:hAnsi="Courier New" w:cs="Courier New"/>
          <w:b/>
        </w:rPr>
        <w:t>particulares</w:t>
      </w:r>
      <w:r w:rsidRPr="00FD0578">
        <w:rPr>
          <w:rFonts w:ascii="Courier New" w:hAnsi="Courier New" w:cs="Courier New"/>
        </w:rPr>
        <w:t xml:space="preserve"> deberes regulatorios encomendados por el Congreso a una </w:t>
      </w:r>
      <w:r w:rsidRPr="00FD0578">
        <w:rPr>
          <w:rFonts w:ascii="Courier New" w:hAnsi="Courier New" w:cs="Courier New"/>
          <w:b/>
        </w:rPr>
        <w:t>agencia</w:t>
      </w:r>
      <w:r w:rsidRPr="00FD0578">
        <w:rPr>
          <w:rFonts w:ascii="Courier New" w:hAnsi="Courier New" w:cs="Courier New"/>
        </w:rPr>
        <w:t xml:space="preserve"> </w:t>
      </w:r>
      <w:r w:rsidRPr="00FD0578">
        <w:rPr>
          <w:rFonts w:ascii="Courier New" w:hAnsi="Courier New" w:cs="Courier New"/>
          <w:i/>
          <w:iCs/>
          <w:sz w:val="22"/>
          <w:szCs w:val="22"/>
        </w:rPr>
        <w:t xml:space="preserve">de la administración; o cuando se procure asegurar la </w:t>
      </w:r>
      <w:r w:rsidRPr="00FD0578">
        <w:rPr>
          <w:rFonts w:ascii="Courier New" w:hAnsi="Courier New" w:cs="Courier New"/>
          <w:b/>
          <w:i/>
          <w:iCs/>
          <w:sz w:val="22"/>
          <w:szCs w:val="22"/>
        </w:rPr>
        <w:t>uniformidad</w:t>
      </w:r>
      <w:r w:rsidRPr="00FD0578">
        <w:rPr>
          <w:rFonts w:ascii="Courier New" w:hAnsi="Courier New" w:cs="Courier New"/>
          <w:i/>
          <w:iCs/>
          <w:sz w:val="22"/>
          <w:szCs w:val="22"/>
        </w:rPr>
        <w:t xml:space="preserve"> y </w:t>
      </w:r>
      <w:r w:rsidRPr="00FD0578">
        <w:rPr>
          <w:rFonts w:ascii="Courier New" w:hAnsi="Courier New" w:cs="Courier New"/>
          <w:b/>
          <w:i/>
          <w:iCs/>
          <w:sz w:val="22"/>
          <w:szCs w:val="22"/>
        </w:rPr>
        <w:t>consistencia</w:t>
      </w:r>
      <w:r w:rsidRPr="00FD0578">
        <w:rPr>
          <w:rFonts w:ascii="Courier New" w:hAnsi="Courier New" w:cs="Courier New"/>
          <w:i/>
          <w:iCs/>
          <w:sz w:val="22"/>
          <w:szCs w:val="22"/>
        </w:rPr>
        <w:t xml:space="preserve"> en la </w:t>
      </w:r>
      <w:r w:rsidRPr="00FD0578">
        <w:rPr>
          <w:rFonts w:ascii="Courier New" w:hAnsi="Courier New" w:cs="Courier New"/>
          <w:b/>
          <w:i/>
          <w:iCs/>
          <w:sz w:val="22"/>
          <w:szCs w:val="22"/>
        </w:rPr>
        <w:t>interpretación</w:t>
      </w:r>
      <w:r w:rsidRPr="00FD0578">
        <w:rPr>
          <w:rFonts w:ascii="Courier New" w:hAnsi="Courier New" w:cs="Courier New"/>
          <w:i/>
          <w:iCs/>
          <w:sz w:val="22"/>
          <w:szCs w:val="22"/>
        </w:rPr>
        <w:t xml:space="preserve"> de las regulaciones políticas diseñadas por la </w:t>
      </w:r>
      <w:r w:rsidRPr="00FD0578">
        <w:rPr>
          <w:rFonts w:ascii="Courier New" w:hAnsi="Courier New" w:cs="Courier New"/>
          <w:b/>
          <w:i/>
          <w:iCs/>
          <w:sz w:val="22"/>
          <w:szCs w:val="22"/>
        </w:rPr>
        <w:t>agencia</w:t>
      </w:r>
      <w:r w:rsidRPr="00FD0578">
        <w:rPr>
          <w:rFonts w:ascii="Courier New" w:hAnsi="Courier New" w:cs="Courier New"/>
          <w:i/>
          <w:iCs/>
          <w:sz w:val="22"/>
          <w:szCs w:val="22"/>
        </w:rPr>
        <w:t xml:space="preserve"> para una industria o </w:t>
      </w:r>
      <w:r w:rsidRPr="00FD0578">
        <w:rPr>
          <w:rFonts w:ascii="Courier New" w:hAnsi="Courier New" w:cs="Courier New"/>
          <w:b/>
          <w:i/>
          <w:iCs/>
          <w:sz w:val="22"/>
          <w:szCs w:val="22"/>
        </w:rPr>
        <w:t>mercado</w:t>
      </w:r>
      <w:r w:rsidRPr="00FD0578">
        <w:rPr>
          <w:rFonts w:ascii="Courier New" w:hAnsi="Courier New" w:cs="Courier New"/>
          <w:i/>
          <w:iCs/>
          <w:sz w:val="22"/>
          <w:szCs w:val="22"/>
        </w:rPr>
        <w:t xml:space="preserve"> </w:t>
      </w:r>
      <w:r w:rsidRPr="00FD0578">
        <w:rPr>
          <w:rFonts w:ascii="Courier New" w:hAnsi="Courier New" w:cs="Courier New"/>
          <w:b/>
          <w:i/>
          <w:iCs/>
          <w:sz w:val="22"/>
          <w:szCs w:val="22"/>
        </w:rPr>
        <w:t>particular</w:t>
      </w:r>
      <w:r w:rsidRPr="00FD0578">
        <w:rPr>
          <w:rFonts w:ascii="Courier New" w:hAnsi="Courier New" w:cs="Courier New"/>
          <w:i/>
          <w:iCs/>
          <w:sz w:val="22"/>
          <w:szCs w:val="22"/>
        </w:rPr>
        <w:t>, en vez de librarla a los criterios heterogéneos o aun contradictorios que podrían resultar de las decisiones de jueces de primera instancia (…)</w:t>
      </w:r>
      <w:r w:rsidRPr="00FD0578">
        <w:rPr>
          <w:rFonts w:ascii="Courier New" w:hAnsi="Courier New" w:cs="Courier New"/>
        </w:rPr>
        <w:t>”</w:t>
      </w:r>
      <w:r>
        <w:rPr>
          <w:rFonts w:ascii="Arial" w:hAnsi="Arial" w:cs="Arial"/>
        </w:rPr>
        <w:t xml:space="preserve"> (Considerando 13).</w:t>
      </w:r>
    </w:p>
    <w:p w:rsidR="00601100" w:rsidRDefault="00601100" w:rsidP="00601100">
      <w:pPr>
        <w:ind w:firstLine="1134"/>
        <w:jc w:val="both"/>
        <w:rPr>
          <w:rFonts w:ascii="Arial" w:hAnsi="Arial" w:cs="Arial"/>
        </w:rPr>
      </w:pPr>
    </w:p>
    <w:p w:rsidR="00601100" w:rsidRDefault="00601100" w:rsidP="00B7230D">
      <w:pPr>
        <w:ind w:firstLine="1134"/>
        <w:jc w:val="both"/>
        <w:rPr>
          <w:rFonts w:ascii="Arial" w:hAnsi="Arial" w:cs="Arial"/>
          <w:sz w:val="24"/>
          <w:szCs w:val="24"/>
        </w:rPr>
      </w:pPr>
      <w:r w:rsidRPr="00B7230D">
        <w:rPr>
          <w:rFonts w:ascii="Arial" w:hAnsi="Arial" w:cs="Arial"/>
          <w:sz w:val="24"/>
          <w:szCs w:val="24"/>
        </w:rPr>
        <w:t>Este párrafo confiesa el mecanismo de defensa de intereses sobre la organización norteamericana, diseñada en la relación Estado-Mercado. Insisto, es un modelo que lo permite, no así en nuestro caso, en donde se fue profundizando una lógica de justicia social, hasta la consagración neta de la protección de los derechos humanos, sin salirse de un modelo capitalista.</w:t>
      </w:r>
    </w:p>
    <w:p w:rsidR="00B7230D" w:rsidRPr="00B7230D" w:rsidRDefault="00B7230D" w:rsidP="00B7230D">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rPr>
      </w:pPr>
      <w:r w:rsidRPr="001C7691">
        <w:rPr>
          <w:rFonts w:ascii="Arial" w:hAnsi="Arial" w:cs="Arial"/>
          <w:sz w:val="24"/>
          <w:szCs w:val="24"/>
        </w:rPr>
        <w:t xml:space="preserve">Léase, </w:t>
      </w:r>
      <w:r w:rsidR="00B7230D">
        <w:rPr>
          <w:rFonts w:ascii="Arial" w:hAnsi="Arial" w:cs="Arial"/>
          <w:sz w:val="24"/>
          <w:szCs w:val="24"/>
        </w:rPr>
        <w:t>en el caso “</w:t>
      </w:r>
      <w:proofErr w:type="spellStart"/>
      <w:r w:rsidR="00B7230D">
        <w:rPr>
          <w:rFonts w:ascii="Arial" w:hAnsi="Arial" w:cs="Arial"/>
          <w:sz w:val="24"/>
          <w:szCs w:val="24"/>
        </w:rPr>
        <w:t>Burghi</w:t>
      </w:r>
      <w:proofErr w:type="spellEnd"/>
      <w:r w:rsidR="00B7230D">
        <w:rPr>
          <w:rFonts w:ascii="Arial" w:hAnsi="Arial" w:cs="Arial"/>
          <w:sz w:val="24"/>
          <w:szCs w:val="24"/>
        </w:rPr>
        <w:t>”, al citar “Ángel Estrada” del año 2005,</w:t>
      </w:r>
      <w:r w:rsidRPr="001C7691">
        <w:rPr>
          <w:rFonts w:ascii="Arial" w:hAnsi="Arial" w:cs="Arial"/>
          <w:sz w:val="24"/>
          <w:szCs w:val="24"/>
        </w:rPr>
        <w:t xml:space="preserve"> que interpreta una jurisprudencia foránea en los albores del 1900, se </w:t>
      </w:r>
      <w:r w:rsidR="00B7230D">
        <w:rPr>
          <w:rFonts w:ascii="Arial" w:hAnsi="Arial" w:cs="Arial"/>
          <w:sz w:val="24"/>
          <w:szCs w:val="24"/>
        </w:rPr>
        <w:t>termina entronizando indebidamente</w:t>
      </w:r>
      <w:r w:rsidRPr="001C7691">
        <w:rPr>
          <w:rFonts w:ascii="Arial" w:hAnsi="Arial" w:cs="Arial"/>
          <w:sz w:val="24"/>
          <w:szCs w:val="24"/>
        </w:rPr>
        <w:t xml:space="preserve"> la uniformidad del precedente, creando una justicia administrativa que evitará la diversidad de opiniones.</w:t>
      </w:r>
      <w:r>
        <w:rPr>
          <w:rFonts w:ascii="Arial" w:hAnsi="Arial" w:cs="Arial"/>
          <w:sz w:val="24"/>
          <w:szCs w:val="24"/>
        </w:rPr>
        <w:t xml:space="preserve"> Esto solo, por su sinsentido técnico, llamó </w:t>
      </w:r>
      <w:proofErr w:type="spellStart"/>
      <w:r>
        <w:rPr>
          <w:rFonts w:ascii="Arial" w:hAnsi="Arial" w:cs="Arial"/>
          <w:sz w:val="24"/>
          <w:szCs w:val="24"/>
        </w:rPr>
        <w:t>liminarmente</w:t>
      </w:r>
      <w:proofErr w:type="spellEnd"/>
      <w:r>
        <w:rPr>
          <w:rFonts w:ascii="Arial" w:hAnsi="Arial" w:cs="Arial"/>
          <w:sz w:val="24"/>
          <w:szCs w:val="24"/>
        </w:rPr>
        <w:t xml:space="preserve"> mi atención.</w:t>
      </w:r>
    </w:p>
    <w:p w:rsidR="00601100" w:rsidRPr="001C7691" w:rsidRDefault="00601100" w:rsidP="00601100">
      <w:pPr>
        <w:ind w:firstLine="1134"/>
        <w:jc w:val="both"/>
        <w:rPr>
          <w:rFonts w:ascii="Arial" w:hAnsi="Arial" w:cs="Arial"/>
          <w:color w:val="FF0000"/>
          <w:sz w:val="24"/>
          <w:szCs w:val="24"/>
        </w:rPr>
      </w:pPr>
    </w:p>
    <w:p w:rsidR="00601100" w:rsidRDefault="00601100" w:rsidP="00601100">
      <w:pPr>
        <w:ind w:firstLine="1134"/>
        <w:jc w:val="both"/>
        <w:rPr>
          <w:rFonts w:ascii="Arial" w:hAnsi="Arial" w:cs="Arial"/>
          <w:sz w:val="24"/>
          <w:szCs w:val="24"/>
        </w:rPr>
      </w:pPr>
      <w:r w:rsidRPr="001B2DC1">
        <w:rPr>
          <w:rFonts w:ascii="Arial" w:hAnsi="Arial" w:cs="Arial"/>
          <w:sz w:val="24"/>
          <w:szCs w:val="24"/>
        </w:rPr>
        <w:t xml:space="preserve">Mas continuando con la lectura de </w:t>
      </w:r>
      <w:r>
        <w:rPr>
          <w:rFonts w:ascii="Arial" w:hAnsi="Arial" w:cs="Arial"/>
          <w:sz w:val="24"/>
          <w:szCs w:val="24"/>
        </w:rPr>
        <w:t>“</w:t>
      </w:r>
      <w:r w:rsidRPr="001B2DC1">
        <w:rPr>
          <w:rFonts w:ascii="Arial" w:hAnsi="Arial" w:cs="Arial"/>
          <w:sz w:val="24"/>
          <w:szCs w:val="24"/>
        </w:rPr>
        <w:t>Ángel Estrada</w:t>
      </w:r>
      <w:r>
        <w:rPr>
          <w:rFonts w:ascii="Arial" w:hAnsi="Arial" w:cs="Arial"/>
          <w:sz w:val="24"/>
          <w:szCs w:val="24"/>
        </w:rPr>
        <w:t>”</w:t>
      </w:r>
      <w:r w:rsidRPr="001B2DC1">
        <w:rPr>
          <w:rFonts w:ascii="Arial" w:hAnsi="Arial" w:cs="Arial"/>
          <w:sz w:val="24"/>
          <w:szCs w:val="24"/>
        </w:rPr>
        <w:t xml:space="preserve">, se cita </w:t>
      </w:r>
      <w:r>
        <w:rPr>
          <w:rFonts w:ascii="Arial" w:hAnsi="Arial" w:cs="Arial"/>
          <w:sz w:val="24"/>
          <w:szCs w:val="24"/>
        </w:rPr>
        <w:t>allí un segundo fallo más cercano. S</w:t>
      </w:r>
      <w:r w:rsidRPr="001B2DC1">
        <w:rPr>
          <w:rFonts w:ascii="Arial" w:hAnsi="Arial" w:cs="Arial"/>
          <w:sz w:val="24"/>
          <w:szCs w:val="24"/>
        </w:rPr>
        <w:t>e trata de</w:t>
      </w:r>
      <w:r w:rsidRPr="001B2DC1">
        <w:rPr>
          <w:rFonts w:ascii="Arial" w:hAnsi="Arial" w:cs="Arial"/>
          <w:color w:val="000000"/>
          <w:sz w:val="24"/>
          <w:szCs w:val="24"/>
          <w:lang w:val="es-AR"/>
        </w:rPr>
        <w:t xml:space="preserve"> </w:t>
      </w:r>
      <w:r w:rsidRPr="001B2DC1">
        <w:rPr>
          <w:rFonts w:ascii="Arial" w:hAnsi="Arial" w:cs="Arial"/>
          <w:i/>
          <w:sz w:val="24"/>
          <w:szCs w:val="24"/>
        </w:rPr>
        <w:t xml:space="preserve">Nader vs. Allegheny </w:t>
      </w:r>
      <w:proofErr w:type="spellStart"/>
      <w:r w:rsidRPr="001B2DC1">
        <w:rPr>
          <w:rFonts w:ascii="Arial" w:hAnsi="Arial" w:cs="Arial"/>
          <w:i/>
          <w:sz w:val="24"/>
          <w:szCs w:val="24"/>
        </w:rPr>
        <w:t>Airlines</w:t>
      </w:r>
      <w:proofErr w:type="spellEnd"/>
      <w:r w:rsidRPr="001B2DC1">
        <w:rPr>
          <w:rFonts w:ascii="Arial" w:hAnsi="Arial" w:cs="Arial"/>
          <w:i/>
          <w:sz w:val="24"/>
          <w:szCs w:val="24"/>
        </w:rPr>
        <w:t xml:space="preserve">, </w:t>
      </w:r>
      <w:r w:rsidRPr="001B2DC1">
        <w:rPr>
          <w:rFonts w:ascii="Arial" w:hAnsi="Arial" w:cs="Arial"/>
          <w:i/>
          <w:sz w:val="24"/>
          <w:szCs w:val="24"/>
        </w:rPr>
        <w:lastRenderedPageBreak/>
        <w:t xml:space="preserve">Inc., </w:t>
      </w:r>
      <w:r w:rsidRPr="001B2DC1">
        <w:rPr>
          <w:rFonts w:ascii="Arial" w:hAnsi="Arial" w:cs="Arial"/>
          <w:sz w:val="24"/>
          <w:szCs w:val="24"/>
        </w:rPr>
        <w:t>de 1976</w:t>
      </w:r>
      <w:r>
        <w:rPr>
          <w:rFonts w:ascii="Arial" w:hAnsi="Arial" w:cs="Arial"/>
          <w:sz w:val="24"/>
          <w:szCs w:val="24"/>
        </w:rPr>
        <w:t xml:space="preserve">. Justamente aquí, la </w:t>
      </w:r>
      <w:r w:rsidRPr="001B2DC1">
        <w:rPr>
          <w:rFonts w:ascii="Arial" w:hAnsi="Arial" w:cs="Arial"/>
          <w:sz w:val="24"/>
          <w:szCs w:val="24"/>
        </w:rPr>
        <w:t>Corte</w:t>
      </w:r>
      <w:r>
        <w:rPr>
          <w:rFonts w:ascii="Arial" w:hAnsi="Arial" w:cs="Arial"/>
          <w:sz w:val="24"/>
          <w:szCs w:val="24"/>
        </w:rPr>
        <w:t xml:space="preserve"> de los EEUU</w:t>
      </w:r>
      <w:r w:rsidRPr="001B2DC1">
        <w:rPr>
          <w:rFonts w:ascii="Arial" w:hAnsi="Arial" w:cs="Arial"/>
          <w:sz w:val="24"/>
          <w:szCs w:val="24"/>
        </w:rPr>
        <w:t xml:space="preserve">, introduce una limitación al poder de las agencias respecto a la especialidad. Al respecto, nuestra Corte extrae de  “Nader”, los siguientes términos: “el principio de la jurisdicción primaria no rige cuando la cuestión controvertida es ajena al régimen de las agencias.” Además, se estableció que la competencia material de la jurisdicción primaria es para los casos </w:t>
      </w:r>
      <w:r>
        <w:rPr>
          <w:rFonts w:ascii="Arial" w:hAnsi="Arial" w:cs="Arial"/>
          <w:sz w:val="24"/>
          <w:szCs w:val="24"/>
        </w:rPr>
        <w:t xml:space="preserve">en </w:t>
      </w:r>
      <w:r w:rsidRPr="001B2DC1">
        <w:rPr>
          <w:rFonts w:ascii="Arial" w:hAnsi="Arial" w:cs="Arial"/>
          <w:sz w:val="24"/>
          <w:szCs w:val="24"/>
        </w:rPr>
        <w:t>que se requiera “la experiencia y especialización</w:t>
      </w:r>
      <w:r>
        <w:rPr>
          <w:rFonts w:ascii="Arial" w:hAnsi="Arial" w:cs="Arial"/>
          <w:sz w:val="24"/>
          <w:szCs w:val="24"/>
        </w:rPr>
        <w:t>”</w:t>
      </w:r>
      <w:r w:rsidRPr="001B2DC1">
        <w:rPr>
          <w:rFonts w:ascii="Arial" w:hAnsi="Arial" w:cs="Arial"/>
          <w:sz w:val="24"/>
          <w:szCs w:val="24"/>
        </w:rPr>
        <w:t xml:space="preserve"> de dicha agencia. Agregó</w:t>
      </w:r>
      <w:r>
        <w:rPr>
          <w:rFonts w:ascii="Arial" w:hAnsi="Arial" w:cs="Arial"/>
          <w:sz w:val="24"/>
          <w:szCs w:val="24"/>
        </w:rPr>
        <w:t>,</w:t>
      </w:r>
      <w:r w:rsidRPr="001B2DC1">
        <w:rPr>
          <w:rFonts w:ascii="Arial" w:hAnsi="Arial" w:cs="Arial"/>
          <w:sz w:val="24"/>
          <w:szCs w:val="24"/>
        </w:rPr>
        <w:t xml:space="preserve"> que "la aplicación de los </w:t>
      </w:r>
      <w:proofErr w:type="spellStart"/>
      <w:r>
        <w:rPr>
          <w:rFonts w:ascii="Arial" w:hAnsi="Arial" w:cs="Arial"/>
          <w:sz w:val="24"/>
          <w:szCs w:val="24"/>
        </w:rPr>
        <w:t>esta</w:t>
      </w:r>
      <w:r w:rsidRPr="001B2DC1">
        <w:rPr>
          <w:rFonts w:ascii="Arial" w:hAnsi="Arial" w:cs="Arial"/>
          <w:sz w:val="24"/>
          <w:szCs w:val="24"/>
        </w:rPr>
        <w:t>ndares</w:t>
      </w:r>
      <w:proofErr w:type="spellEnd"/>
      <w:r w:rsidRPr="001B2DC1">
        <w:rPr>
          <w:rFonts w:ascii="Arial" w:hAnsi="Arial" w:cs="Arial"/>
          <w:sz w:val="24"/>
          <w:szCs w:val="24"/>
        </w:rPr>
        <w:t xml:space="preserve"> que rigen una demanda por prácticas fraudulentas corresponde a la competencia convencional de los tribunales ordinarios" y que "el criterio técnico de un cuerpo experto no parece ser útil para la aplicación de estos estándares a los hechos del caso". </w:t>
      </w:r>
    </w:p>
    <w:p w:rsidR="00601100" w:rsidRPr="001B2DC1" w:rsidRDefault="00601100" w:rsidP="00601100">
      <w:pPr>
        <w:ind w:firstLine="1134"/>
        <w:jc w:val="both"/>
        <w:rPr>
          <w:rFonts w:ascii="Arial" w:hAnsi="Arial" w:cs="Arial"/>
          <w:sz w:val="24"/>
          <w:szCs w:val="24"/>
        </w:rPr>
      </w:pPr>
    </w:p>
    <w:p w:rsidR="00601100" w:rsidRPr="001C19BC" w:rsidRDefault="00601100" w:rsidP="00601100">
      <w:pPr>
        <w:pStyle w:val="Default"/>
        <w:spacing w:after="240"/>
        <w:ind w:firstLine="1134"/>
        <w:jc w:val="both"/>
        <w:rPr>
          <w:rFonts w:ascii="Arial" w:hAnsi="Arial" w:cs="Arial"/>
        </w:rPr>
      </w:pPr>
      <w:r w:rsidRPr="001C19BC">
        <w:rPr>
          <w:rFonts w:ascii="Arial" w:hAnsi="Arial" w:cs="Arial"/>
        </w:rPr>
        <w:t xml:space="preserve">En definitiva, resume nuestra Corte, “la jurisdicción de las agencias se circunscribe a las materias que configuran </w:t>
      </w:r>
      <w:r w:rsidRPr="001C19BC">
        <w:rPr>
          <w:rFonts w:ascii="Arial" w:hAnsi="Arial" w:cs="Arial"/>
          <w:b/>
        </w:rPr>
        <w:t>"el corazón" de las tareas</w:t>
      </w:r>
      <w:r w:rsidRPr="001C19BC">
        <w:rPr>
          <w:rFonts w:ascii="Arial" w:hAnsi="Arial" w:cs="Arial"/>
        </w:rPr>
        <w:t xml:space="preserve"> que tuvo en miras el Congreso que las emplazó (…)”. (Considerando 13. Lo puesto de resalto me pertenece)</w:t>
      </w:r>
    </w:p>
    <w:p w:rsidR="00601100" w:rsidRPr="00B17EF3" w:rsidRDefault="00601100" w:rsidP="00601100">
      <w:pPr>
        <w:ind w:firstLine="1134"/>
        <w:jc w:val="both"/>
        <w:rPr>
          <w:rFonts w:ascii="Arial" w:hAnsi="Arial" w:cs="Arial"/>
          <w:sz w:val="24"/>
          <w:szCs w:val="24"/>
          <w:lang w:val="es-AR"/>
        </w:rPr>
      </w:pPr>
      <w:r w:rsidRPr="00B17EF3">
        <w:rPr>
          <w:rFonts w:ascii="Arial" w:hAnsi="Arial" w:cs="Arial"/>
          <w:sz w:val="24"/>
          <w:szCs w:val="24"/>
          <w:lang w:val="es-AR"/>
        </w:rPr>
        <w:t>Con lo cual, si los EEUU mismos pone</w:t>
      </w:r>
      <w:r>
        <w:rPr>
          <w:rFonts w:ascii="Arial" w:hAnsi="Arial" w:cs="Arial"/>
          <w:sz w:val="24"/>
          <w:szCs w:val="24"/>
          <w:lang w:val="es-AR"/>
        </w:rPr>
        <w:t>n</w:t>
      </w:r>
      <w:r w:rsidRPr="00B17EF3">
        <w:rPr>
          <w:rFonts w:ascii="Arial" w:hAnsi="Arial" w:cs="Arial"/>
          <w:sz w:val="24"/>
          <w:szCs w:val="24"/>
          <w:lang w:val="es-AR"/>
        </w:rPr>
        <w:t xml:space="preserve"> límites a la jurisdicción administrativa originaria, como en el citado caso "</w:t>
      </w:r>
      <w:r w:rsidRPr="00D63045">
        <w:rPr>
          <w:rFonts w:ascii="Arial" w:hAnsi="Arial" w:cs="Arial"/>
          <w:i/>
          <w:sz w:val="24"/>
          <w:szCs w:val="24"/>
          <w:lang w:val="es-AR"/>
        </w:rPr>
        <w:t>Nader</w:t>
      </w:r>
      <w:r w:rsidRPr="00B17EF3">
        <w:rPr>
          <w:rFonts w:ascii="Arial" w:hAnsi="Arial" w:cs="Arial"/>
          <w:sz w:val="24"/>
          <w:szCs w:val="24"/>
          <w:lang w:val="es-AR"/>
        </w:rPr>
        <w:t>", cuanto más en nuestro modelo que es estructuralmente diferente.</w:t>
      </w:r>
    </w:p>
    <w:p w:rsidR="00601100" w:rsidRDefault="00601100" w:rsidP="00601100">
      <w:pPr>
        <w:ind w:firstLine="1134"/>
        <w:jc w:val="both"/>
        <w:rPr>
          <w:rFonts w:ascii="Arial" w:hAnsi="Arial" w:cs="Arial"/>
          <w:color w:val="000000"/>
          <w:sz w:val="24"/>
          <w:szCs w:val="24"/>
          <w:lang w:val="es-AR"/>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AR"/>
        </w:rPr>
        <w:t>Efectivamente, es el principio de especialidad que surge de la doctrina en el caso “</w:t>
      </w:r>
      <w:r w:rsidRPr="00D63045">
        <w:rPr>
          <w:rFonts w:ascii="Arial" w:hAnsi="Arial" w:cs="Arial"/>
          <w:i/>
          <w:sz w:val="24"/>
          <w:szCs w:val="24"/>
          <w:lang w:val="es-AR"/>
        </w:rPr>
        <w:t>Nader</w:t>
      </w:r>
      <w:r>
        <w:rPr>
          <w:rFonts w:ascii="Arial" w:hAnsi="Arial" w:cs="Arial"/>
          <w:sz w:val="24"/>
          <w:szCs w:val="24"/>
          <w:lang w:val="es-AR"/>
        </w:rPr>
        <w:t xml:space="preserve">”, el que confirmó la Corte Suprema de la Nación en la doctrina del fallo “Ángel Estrada” para considerar los casos de jurisdicción administrativa, apegado al sistema </w:t>
      </w:r>
      <w:proofErr w:type="spellStart"/>
      <w:r>
        <w:rPr>
          <w:rFonts w:ascii="Arial" w:hAnsi="Arial" w:cs="Arial"/>
          <w:sz w:val="24"/>
          <w:szCs w:val="24"/>
          <w:lang w:val="es-AR"/>
        </w:rPr>
        <w:t>judicialista</w:t>
      </w:r>
      <w:proofErr w:type="spellEnd"/>
      <w:r>
        <w:rPr>
          <w:rFonts w:ascii="Arial" w:hAnsi="Arial" w:cs="Arial"/>
          <w:sz w:val="24"/>
          <w:szCs w:val="24"/>
          <w:lang w:val="es-AR"/>
        </w:rPr>
        <w:t xml:space="preserve">. </w:t>
      </w:r>
    </w:p>
    <w:p w:rsidR="00601100" w:rsidRPr="00F84757" w:rsidRDefault="00601100" w:rsidP="00601100">
      <w:pPr>
        <w:ind w:firstLine="1134"/>
        <w:jc w:val="both"/>
        <w:rPr>
          <w:rFonts w:ascii="Arial" w:hAnsi="Arial" w:cs="Arial"/>
          <w:sz w:val="24"/>
          <w:szCs w:val="24"/>
          <w:lang w:val="es-MX"/>
        </w:rPr>
      </w:pPr>
    </w:p>
    <w:p w:rsidR="00601100" w:rsidRPr="004F5E09" w:rsidRDefault="00601100" w:rsidP="00601100">
      <w:pPr>
        <w:ind w:firstLine="1134"/>
        <w:jc w:val="both"/>
        <w:rPr>
          <w:rFonts w:ascii="Arial" w:hAnsi="Arial" w:cs="Arial"/>
          <w:sz w:val="24"/>
          <w:szCs w:val="24"/>
          <w:lang w:val="es-AR"/>
        </w:rPr>
      </w:pPr>
      <w:r>
        <w:rPr>
          <w:rFonts w:ascii="Arial" w:hAnsi="Arial" w:cs="Arial"/>
          <w:sz w:val="24"/>
          <w:szCs w:val="24"/>
          <w:lang w:val="es-AR"/>
        </w:rPr>
        <w:t>Al respecto, la CSJN afirmó que</w:t>
      </w:r>
      <w:r w:rsidRPr="00C94700">
        <w:rPr>
          <w:rFonts w:ascii="Courier New" w:hAnsi="Courier New" w:cs="Courier New"/>
          <w:sz w:val="24"/>
          <w:szCs w:val="24"/>
          <w:lang w:val="es-AR"/>
        </w:rPr>
        <w:t xml:space="preserve">: </w:t>
      </w:r>
      <w:r>
        <w:rPr>
          <w:rFonts w:ascii="Courier New" w:hAnsi="Courier New" w:cs="Courier New"/>
          <w:sz w:val="24"/>
          <w:szCs w:val="24"/>
          <w:lang w:val="es-AR"/>
        </w:rPr>
        <w:t xml:space="preserve">“no cualquier controversia </w:t>
      </w:r>
      <w:r w:rsidRPr="00DA6EE4">
        <w:rPr>
          <w:rFonts w:ascii="Courier New" w:hAnsi="Courier New" w:cs="Courier New"/>
          <w:sz w:val="24"/>
          <w:szCs w:val="24"/>
          <w:lang w:val="es-AR"/>
        </w:rPr>
        <w:t>puede ser válidamente deferida</w:t>
      </w:r>
      <w:r>
        <w:rPr>
          <w:rFonts w:ascii="Courier New" w:hAnsi="Courier New" w:cs="Courier New"/>
          <w:sz w:val="24"/>
          <w:szCs w:val="24"/>
          <w:lang w:val="es-AR"/>
        </w:rPr>
        <w:t xml:space="preserve"> </w:t>
      </w:r>
      <w:r w:rsidRPr="002872EC">
        <w:rPr>
          <w:rFonts w:ascii="Courier New" w:hAnsi="Courier New" w:cs="Courier New"/>
          <w:sz w:val="24"/>
          <w:szCs w:val="24"/>
          <w:lang w:val="es-AR"/>
        </w:rPr>
        <w:t xml:space="preserve">al conocimiento de órganos administrativos con la mera condición de que sus decisiones queden sujetas a un ulterior control judicial suficiente. Los motivos tenidos en cuenta por el legislador para sustraer la materia de que se trate de la jurisdicción de los jueces ordinarios deben estar razonablemente justificados pues, de lo contrario, la jurisdicción administrativa así creada carecería de sustento constitucional, e importaría un avance indebido sobre las atribuciones que el art. 116 de la Constitución Nacional define como propias y exclusivas del Poder Judicial de la Nación. </w:t>
      </w:r>
      <w:r w:rsidRPr="00C94700">
        <w:rPr>
          <w:rFonts w:ascii="Courier New" w:hAnsi="Courier New" w:cs="Courier New"/>
          <w:sz w:val="22"/>
          <w:szCs w:val="22"/>
          <w:lang w:val="es-AR"/>
        </w:rPr>
        <w:t>Admitir que el Congreso pudiera delegar en los órganos de la administración facultades judiciales sin limitación material de ninguna especie sería tan impensable como permitir que el legislador delegara la sustancia de sus propias funciones legislativas, lo cual está expresamente vedado en el art. 76 de la Constitución Nacional, con salvedades expresas</w:t>
      </w:r>
      <w:r>
        <w:rPr>
          <w:rFonts w:ascii="Courier New" w:hAnsi="Courier New" w:cs="Courier New"/>
          <w:sz w:val="22"/>
          <w:szCs w:val="22"/>
          <w:lang w:val="es-AR"/>
        </w:rPr>
        <w:t xml:space="preserve"> (…)</w:t>
      </w:r>
      <w:r w:rsidRPr="00C94700">
        <w:rPr>
          <w:rFonts w:ascii="Courier New" w:hAnsi="Courier New" w:cs="Courier New"/>
          <w:sz w:val="22"/>
          <w:szCs w:val="22"/>
          <w:lang w:val="es-AR"/>
        </w:rPr>
        <w:t>”</w:t>
      </w:r>
      <w:r>
        <w:rPr>
          <w:rFonts w:ascii="Courier New" w:hAnsi="Courier New" w:cs="Courier New"/>
          <w:sz w:val="22"/>
          <w:szCs w:val="22"/>
          <w:lang w:val="es-AR"/>
        </w:rPr>
        <w:t xml:space="preserve"> (Considerado 14)</w:t>
      </w:r>
      <w:r w:rsidRPr="00C94700">
        <w:rPr>
          <w:rFonts w:ascii="Courier New" w:hAnsi="Courier New" w:cs="Courier New"/>
          <w:sz w:val="22"/>
          <w:szCs w:val="22"/>
          <w:lang w:val="es-AR"/>
        </w:rPr>
        <w:t xml:space="preserve"> </w:t>
      </w:r>
    </w:p>
    <w:p w:rsidR="00601100" w:rsidRDefault="00601100" w:rsidP="00601100">
      <w:pPr>
        <w:ind w:firstLine="1134"/>
        <w:jc w:val="both"/>
        <w:rPr>
          <w:rFonts w:ascii="Arial" w:hAnsi="Arial" w:cs="Arial"/>
          <w:sz w:val="24"/>
          <w:szCs w:val="24"/>
          <w:lang w:val="es-AR"/>
        </w:rPr>
      </w:pPr>
    </w:p>
    <w:p w:rsidR="00601100" w:rsidRDefault="00601100" w:rsidP="00601100">
      <w:pPr>
        <w:autoSpaceDE w:val="0"/>
        <w:autoSpaceDN w:val="0"/>
        <w:adjustRightInd w:val="0"/>
        <w:ind w:firstLine="1134"/>
        <w:jc w:val="both"/>
        <w:rPr>
          <w:rFonts w:ascii="Arial" w:hAnsi="Arial" w:cs="Arial"/>
          <w:sz w:val="24"/>
          <w:szCs w:val="24"/>
          <w:lang w:val="es-AR"/>
        </w:rPr>
      </w:pPr>
      <w:r w:rsidRPr="009B2242">
        <w:rPr>
          <w:rFonts w:ascii="Arial" w:hAnsi="Arial" w:cs="Arial"/>
          <w:sz w:val="24"/>
          <w:szCs w:val="24"/>
          <w:lang w:val="es-AR"/>
        </w:rPr>
        <w:t xml:space="preserve">Es por ello, que de manera </w:t>
      </w:r>
      <w:r>
        <w:rPr>
          <w:rFonts w:ascii="Arial" w:hAnsi="Arial" w:cs="Arial"/>
          <w:sz w:val="24"/>
          <w:szCs w:val="24"/>
          <w:lang w:val="es-AR"/>
        </w:rPr>
        <w:t xml:space="preserve">contundente afirma que </w:t>
      </w:r>
      <w:r w:rsidRPr="009B2242">
        <w:rPr>
          <w:rFonts w:ascii="Arial" w:hAnsi="Arial" w:cs="Arial"/>
          <w:sz w:val="24"/>
          <w:szCs w:val="24"/>
          <w:lang w:val="es-AR"/>
        </w:rPr>
        <w:t xml:space="preserve">para dirimir </w:t>
      </w:r>
      <w:r>
        <w:rPr>
          <w:rFonts w:ascii="Arial" w:hAnsi="Arial" w:cs="Arial"/>
          <w:sz w:val="24"/>
          <w:szCs w:val="24"/>
          <w:lang w:val="es-AR"/>
        </w:rPr>
        <w:t xml:space="preserve">los recursos ordinarios, como el </w:t>
      </w:r>
      <w:r w:rsidRPr="009B2242">
        <w:rPr>
          <w:rFonts w:ascii="Arial" w:hAnsi="Arial" w:cs="Arial"/>
          <w:sz w:val="24"/>
          <w:szCs w:val="24"/>
          <w:lang w:val="es-AR"/>
        </w:rPr>
        <w:t>reclamo de daños y perjuicios con sustento en el derech</w:t>
      </w:r>
      <w:r>
        <w:rPr>
          <w:rFonts w:ascii="Arial" w:hAnsi="Arial" w:cs="Arial"/>
          <w:sz w:val="24"/>
          <w:szCs w:val="24"/>
          <w:lang w:val="es-AR"/>
        </w:rPr>
        <w:t>o común, corresponde que sean dilucidados en</w:t>
      </w:r>
      <w:r w:rsidRPr="009B2242">
        <w:rPr>
          <w:rFonts w:ascii="Arial" w:hAnsi="Arial" w:cs="Arial"/>
          <w:sz w:val="24"/>
          <w:szCs w:val="24"/>
          <w:lang w:val="es-AR"/>
        </w:rPr>
        <w:t xml:space="preserve"> la justicia ordinaria.</w:t>
      </w:r>
      <w:r>
        <w:rPr>
          <w:rFonts w:ascii="Arial" w:hAnsi="Arial" w:cs="Arial"/>
          <w:sz w:val="24"/>
          <w:szCs w:val="24"/>
          <w:lang w:val="es-AR"/>
        </w:rPr>
        <w:t xml:space="preserve">  Es más, concluye que </w:t>
      </w:r>
      <w:r w:rsidRPr="00721A60">
        <w:rPr>
          <w:rFonts w:ascii="Courier New" w:hAnsi="Courier New" w:cs="Courier New"/>
          <w:sz w:val="24"/>
          <w:szCs w:val="24"/>
          <w:lang w:val="es-AR"/>
        </w:rPr>
        <w:t xml:space="preserve">“definir el contenido concreto de la prestación y el estándar de diligencia exigible a la empresa –en el caso la distribuidora en la prestación del servicio-(…) </w:t>
      </w:r>
      <w:r w:rsidRPr="00721A60">
        <w:rPr>
          <w:rFonts w:ascii="Courier New" w:hAnsi="Courier New" w:cs="Courier New"/>
          <w:b/>
          <w:sz w:val="24"/>
          <w:szCs w:val="24"/>
          <w:lang w:val="es-AR"/>
        </w:rPr>
        <w:t>aunque involucren aspectos técnicos, son insuficientes para atribuir jurisdicción al ente regulador</w:t>
      </w:r>
      <w:r w:rsidRPr="00721A60">
        <w:rPr>
          <w:rFonts w:ascii="Courier New" w:hAnsi="Courier New" w:cs="Courier New"/>
          <w:sz w:val="24"/>
          <w:szCs w:val="24"/>
          <w:lang w:val="es-AR"/>
        </w:rPr>
        <w:t xml:space="preserve">, </w:t>
      </w:r>
      <w:r w:rsidRPr="00721A60">
        <w:rPr>
          <w:rFonts w:ascii="Courier New" w:hAnsi="Courier New" w:cs="Courier New"/>
          <w:b/>
          <w:sz w:val="24"/>
          <w:szCs w:val="24"/>
          <w:lang w:val="es-AR"/>
        </w:rPr>
        <w:t xml:space="preserve">toda vez que nada obsta a que los jueces ordinarios le requieran toda la información relevante para determinar la existencia de </w:t>
      </w:r>
      <w:r w:rsidRPr="00721A60">
        <w:rPr>
          <w:rFonts w:ascii="Courier New" w:hAnsi="Courier New" w:cs="Courier New"/>
          <w:b/>
          <w:sz w:val="24"/>
          <w:szCs w:val="24"/>
          <w:lang w:val="es-AR"/>
        </w:rPr>
        <w:lastRenderedPageBreak/>
        <w:t>la mora y la imputabilidad del incumplimiento</w:t>
      </w:r>
      <w:r w:rsidRPr="00721A60">
        <w:rPr>
          <w:rFonts w:ascii="Courier New" w:hAnsi="Courier New" w:cs="Courier New"/>
          <w:sz w:val="24"/>
          <w:szCs w:val="24"/>
          <w:lang w:val="es-AR"/>
        </w:rPr>
        <w:t xml:space="preserve">.” </w:t>
      </w:r>
      <w:r w:rsidRPr="000300B2">
        <w:rPr>
          <w:rFonts w:ascii="Arial" w:hAnsi="Arial" w:cs="Arial"/>
          <w:sz w:val="24"/>
          <w:szCs w:val="24"/>
          <w:lang w:val="es-AR"/>
        </w:rPr>
        <w:t>(Lo puesto de resalto me pertenece).</w:t>
      </w:r>
    </w:p>
    <w:p w:rsidR="00601100" w:rsidRDefault="00601100" w:rsidP="00601100">
      <w:pPr>
        <w:autoSpaceDE w:val="0"/>
        <w:autoSpaceDN w:val="0"/>
        <w:adjustRightInd w:val="0"/>
        <w:ind w:firstLine="1134"/>
        <w:jc w:val="both"/>
        <w:rPr>
          <w:rFonts w:ascii="Arial" w:hAnsi="Arial" w:cs="Arial"/>
          <w:sz w:val="24"/>
          <w:szCs w:val="24"/>
          <w:lang w:val="es-AR"/>
        </w:rPr>
      </w:pPr>
    </w:p>
    <w:p w:rsidR="00601100" w:rsidRDefault="00601100" w:rsidP="00601100">
      <w:pPr>
        <w:autoSpaceDE w:val="0"/>
        <w:autoSpaceDN w:val="0"/>
        <w:adjustRightInd w:val="0"/>
        <w:ind w:firstLine="1134"/>
        <w:jc w:val="both"/>
        <w:rPr>
          <w:rFonts w:ascii="Arial" w:hAnsi="Arial" w:cs="Arial"/>
          <w:sz w:val="24"/>
          <w:szCs w:val="24"/>
          <w:lang w:val="es-MX"/>
        </w:rPr>
      </w:pPr>
      <w:r w:rsidRPr="002872EC">
        <w:rPr>
          <w:rFonts w:ascii="Arial" w:hAnsi="Arial" w:cs="Arial"/>
          <w:sz w:val="24"/>
          <w:szCs w:val="24"/>
          <w:lang w:val="es-MX"/>
        </w:rPr>
        <w:t>La expresión “toda controversia” debe entenderse como “toda controversia válidamente sustraída por el Congreso a la competencia de los jueces ordinarios”</w:t>
      </w:r>
    </w:p>
    <w:p w:rsidR="00601100" w:rsidRPr="002872EC" w:rsidRDefault="00601100" w:rsidP="00601100">
      <w:pPr>
        <w:autoSpaceDE w:val="0"/>
        <w:autoSpaceDN w:val="0"/>
        <w:adjustRightInd w:val="0"/>
        <w:ind w:firstLine="1134"/>
        <w:jc w:val="both"/>
        <w:rPr>
          <w:rFonts w:ascii="Arial" w:hAnsi="Arial" w:cs="Arial"/>
          <w:sz w:val="24"/>
          <w:szCs w:val="24"/>
          <w:lang w:val="es-MX"/>
        </w:rPr>
      </w:pPr>
    </w:p>
    <w:p w:rsidR="00601100" w:rsidRDefault="00601100" w:rsidP="00601100">
      <w:pPr>
        <w:autoSpaceDE w:val="0"/>
        <w:autoSpaceDN w:val="0"/>
        <w:adjustRightInd w:val="0"/>
        <w:ind w:firstLine="1134"/>
        <w:jc w:val="both"/>
        <w:rPr>
          <w:rFonts w:ascii="Arial" w:hAnsi="Arial" w:cs="Arial"/>
          <w:b/>
          <w:sz w:val="24"/>
          <w:szCs w:val="24"/>
          <w:lang w:val="es-MX"/>
        </w:rPr>
      </w:pPr>
      <w:r w:rsidRPr="00A0203D">
        <w:rPr>
          <w:rFonts w:ascii="Arial" w:hAnsi="Arial" w:cs="Arial"/>
          <w:b/>
          <w:sz w:val="24"/>
          <w:szCs w:val="24"/>
          <w:lang w:val="es-MX"/>
        </w:rPr>
        <w:t xml:space="preserve">Lo importante, es que en la sentencia “Ángel Estrada” se deja claro que, tanto aquí como en EEUU, la jurisdicción administrativa no puede abarcar el universo de </w:t>
      </w:r>
      <w:r>
        <w:rPr>
          <w:rFonts w:ascii="Arial" w:hAnsi="Arial" w:cs="Arial"/>
          <w:b/>
          <w:sz w:val="24"/>
          <w:szCs w:val="24"/>
          <w:lang w:val="es-MX"/>
        </w:rPr>
        <w:t xml:space="preserve">todos </w:t>
      </w:r>
      <w:r w:rsidRPr="00A0203D">
        <w:rPr>
          <w:rFonts w:ascii="Arial" w:hAnsi="Arial" w:cs="Arial"/>
          <w:b/>
          <w:sz w:val="24"/>
          <w:szCs w:val="24"/>
          <w:lang w:val="es-MX"/>
        </w:rPr>
        <w:t xml:space="preserve">los supuestos. Esta es una premisa secante entre ambos modelos. </w:t>
      </w:r>
    </w:p>
    <w:p w:rsidR="00601100" w:rsidRPr="00A0203D" w:rsidRDefault="00601100" w:rsidP="00601100">
      <w:pPr>
        <w:autoSpaceDE w:val="0"/>
        <w:autoSpaceDN w:val="0"/>
        <w:adjustRightInd w:val="0"/>
        <w:ind w:firstLine="1134"/>
        <w:jc w:val="both"/>
        <w:rPr>
          <w:rFonts w:ascii="Arial" w:hAnsi="Arial" w:cs="Arial"/>
          <w:b/>
          <w:sz w:val="24"/>
          <w:szCs w:val="24"/>
          <w:lang w:val="es-MX"/>
        </w:rPr>
      </w:pPr>
    </w:p>
    <w:p w:rsidR="00601100" w:rsidRDefault="00601100" w:rsidP="00601100">
      <w:pPr>
        <w:autoSpaceDE w:val="0"/>
        <w:autoSpaceDN w:val="0"/>
        <w:adjustRightInd w:val="0"/>
        <w:ind w:firstLine="1134"/>
        <w:jc w:val="both"/>
        <w:rPr>
          <w:rFonts w:ascii="Arial" w:hAnsi="Arial" w:cs="Arial"/>
          <w:iCs/>
          <w:sz w:val="24"/>
          <w:szCs w:val="24"/>
          <w:lang w:val="es-AR"/>
        </w:rPr>
      </w:pPr>
      <w:r>
        <w:rPr>
          <w:rFonts w:ascii="Arial" w:hAnsi="Arial" w:cs="Arial"/>
          <w:iCs/>
          <w:sz w:val="24"/>
          <w:szCs w:val="24"/>
          <w:lang w:val="es-AR"/>
        </w:rPr>
        <w:t>Es por este motivo que no coincido con mis colegas d</w:t>
      </w:r>
      <w:r w:rsidRPr="0016669A">
        <w:rPr>
          <w:rFonts w:ascii="Arial" w:hAnsi="Arial" w:cs="Arial"/>
          <w:iCs/>
          <w:sz w:val="24"/>
          <w:szCs w:val="24"/>
          <w:lang w:val="es-AR"/>
        </w:rPr>
        <w:t>el caso “</w:t>
      </w:r>
      <w:proofErr w:type="spellStart"/>
      <w:r w:rsidRPr="0016669A">
        <w:rPr>
          <w:rFonts w:ascii="Arial" w:hAnsi="Arial" w:cs="Arial"/>
          <w:iCs/>
          <w:sz w:val="24"/>
          <w:szCs w:val="24"/>
          <w:lang w:val="es-AR"/>
        </w:rPr>
        <w:t>Burgh</w:t>
      </w:r>
      <w:r>
        <w:rPr>
          <w:rFonts w:ascii="Arial" w:hAnsi="Arial" w:cs="Arial"/>
          <w:iCs/>
          <w:sz w:val="24"/>
          <w:szCs w:val="24"/>
          <w:lang w:val="es-AR"/>
        </w:rPr>
        <w:t>i</w:t>
      </w:r>
      <w:proofErr w:type="spellEnd"/>
      <w:r>
        <w:rPr>
          <w:rFonts w:ascii="Arial" w:hAnsi="Arial" w:cs="Arial"/>
          <w:iCs/>
          <w:sz w:val="24"/>
          <w:szCs w:val="24"/>
          <w:lang w:val="es-AR"/>
        </w:rPr>
        <w:t xml:space="preserve">”. Pues considero </w:t>
      </w:r>
      <w:r w:rsidR="00D63045">
        <w:rPr>
          <w:rFonts w:ascii="Arial" w:hAnsi="Arial" w:cs="Arial"/>
          <w:iCs/>
          <w:sz w:val="24"/>
          <w:szCs w:val="24"/>
          <w:lang w:val="es-AR"/>
        </w:rPr>
        <w:t xml:space="preserve">que </w:t>
      </w:r>
      <w:r w:rsidRPr="00F96402">
        <w:rPr>
          <w:rFonts w:ascii="Arial" w:hAnsi="Arial" w:cs="Arial"/>
          <w:iCs/>
          <w:sz w:val="24"/>
          <w:szCs w:val="24"/>
          <w:lang w:val="es-MX"/>
        </w:rPr>
        <w:t xml:space="preserve">sustentan </w:t>
      </w:r>
      <w:r>
        <w:rPr>
          <w:rFonts w:ascii="Arial" w:hAnsi="Arial" w:cs="Arial"/>
          <w:iCs/>
          <w:sz w:val="24"/>
          <w:szCs w:val="24"/>
          <w:lang w:val="es-MX"/>
        </w:rPr>
        <w:t>su</w:t>
      </w:r>
      <w:r w:rsidRPr="00F96402">
        <w:rPr>
          <w:rFonts w:ascii="Arial" w:hAnsi="Arial" w:cs="Arial"/>
          <w:iCs/>
          <w:sz w:val="24"/>
          <w:szCs w:val="24"/>
          <w:lang w:val="es-MX"/>
        </w:rPr>
        <w:t xml:space="preserve"> criterio </w:t>
      </w:r>
      <w:r>
        <w:rPr>
          <w:rFonts w:ascii="Arial" w:hAnsi="Arial" w:cs="Arial"/>
          <w:iCs/>
          <w:sz w:val="24"/>
          <w:szCs w:val="24"/>
          <w:lang w:val="es-MX"/>
        </w:rPr>
        <w:t xml:space="preserve">en los precedentes </w:t>
      </w:r>
      <w:r w:rsidRPr="00F96402">
        <w:rPr>
          <w:rFonts w:ascii="Arial" w:hAnsi="Arial" w:cs="Arial"/>
          <w:iCs/>
          <w:sz w:val="24"/>
          <w:szCs w:val="24"/>
          <w:lang w:val="es-MX"/>
        </w:rPr>
        <w:t xml:space="preserve">de la Corte Suprema de EE UU, de comienzos de siglo </w:t>
      </w:r>
      <w:r>
        <w:rPr>
          <w:rFonts w:ascii="Arial" w:hAnsi="Arial" w:cs="Arial"/>
          <w:iCs/>
          <w:sz w:val="24"/>
          <w:szCs w:val="24"/>
          <w:lang w:val="es-MX"/>
        </w:rPr>
        <w:t>(</w:t>
      </w:r>
      <w:r w:rsidRPr="00E4205A">
        <w:rPr>
          <w:rFonts w:ascii="Arial" w:hAnsi="Arial" w:cs="Arial"/>
          <w:i/>
          <w:iCs/>
          <w:sz w:val="24"/>
          <w:szCs w:val="24"/>
          <w:lang w:val="es-MX"/>
        </w:rPr>
        <w:t xml:space="preserve">Texas &amp; </w:t>
      </w:r>
      <w:proofErr w:type="spellStart"/>
      <w:r w:rsidRPr="00E4205A">
        <w:rPr>
          <w:rFonts w:ascii="Arial" w:hAnsi="Arial" w:cs="Arial"/>
          <w:i/>
          <w:iCs/>
          <w:sz w:val="24"/>
          <w:szCs w:val="24"/>
          <w:lang w:val="es-MX"/>
        </w:rPr>
        <w:t>Pacific</w:t>
      </w:r>
      <w:proofErr w:type="spellEnd"/>
      <w:r w:rsidRPr="00E4205A">
        <w:rPr>
          <w:rFonts w:ascii="Arial" w:hAnsi="Arial" w:cs="Arial"/>
          <w:i/>
          <w:iCs/>
          <w:sz w:val="24"/>
          <w:szCs w:val="24"/>
          <w:lang w:val="es-MX"/>
        </w:rPr>
        <w:t xml:space="preserve"> </w:t>
      </w:r>
      <w:proofErr w:type="spellStart"/>
      <w:r w:rsidRPr="00E4205A">
        <w:rPr>
          <w:rFonts w:ascii="Arial" w:hAnsi="Arial" w:cs="Arial"/>
          <w:i/>
          <w:iCs/>
          <w:sz w:val="24"/>
          <w:szCs w:val="24"/>
          <w:lang w:val="es-MX"/>
        </w:rPr>
        <w:t>Railway</w:t>
      </w:r>
      <w:proofErr w:type="spellEnd"/>
      <w:r w:rsidRPr="00E4205A">
        <w:rPr>
          <w:rFonts w:ascii="Arial" w:hAnsi="Arial" w:cs="Arial"/>
          <w:i/>
          <w:iCs/>
          <w:sz w:val="24"/>
          <w:szCs w:val="24"/>
          <w:lang w:val="es-MX"/>
        </w:rPr>
        <w:t xml:space="preserve"> v. Abilene Cotton </w:t>
      </w:r>
      <w:proofErr w:type="spellStart"/>
      <w:r w:rsidRPr="00E4205A">
        <w:rPr>
          <w:rFonts w:ascii="Arial" w:hAnsi="Arial" w:cs="Arial"/>
          <w:i/>
          <w:iCs/>
          <w:sz w:val="24"/>
          <w:szCs w:val="24"/>
          <w:lang w:val="es-MX"/>
        </w:rPr>
        <w:t>Oil</w:t>
      </w:r>
      <w:proofErr w:type="spellEnd"/>
      <w:r w:rsidRPr="00E4205A">
        <w:rPr>
          <w:rFonts w:ascii="Arial" w:hAnsi="Arial" w:cs="Arial"/>
          <w:i/>
          <w:iCs/>
          <w:sz w:val="24"/>
          <w:szCs w:val="24"/>
          <w:lang w:val="es-MX"/>
        </w:rPr>
        <w:t xml:space="preserve">.; </w:t>
      </w:r>
      <w:proofErr w:type="spellStart"/>
      <w:r w:rsidRPr="00E4205A">
        <w:rPr>
          <w:rFonts w:ascii="Arial" w:hAnsi="Arial" w:cs="Arial"/>
          <w:i/>
          <w:iCs/>
          <w:sz w:val="24"/>
          <w:szCs w:val="24"/>
          <w:lang w:val="es-MX"/>
        </w:rPr>
        <w:t>Far</w:t>
      </w:r>
      <w:proofErr w:type="spellEnd"/>
      <w:r w:rsidRPr="00E4205A">
        <w:rPr>
          <w:rFonts w:ascii="Arial" w:hAnsi="Arial" w:cs="Arial"/>
          <w:i/>
          <w:iCs/>
          <w:sz w:val="24"/>
          <w:szCs w:val="24"/>
          <w:lang w:val="es-MX"/>
        </w:rPr>
        <w:t xml:space="preserve"> East </w:t>
      </w:r>
      <w:proofErr w:type="spellStart"/>
      <w:r w:rsidRPr="00E4205A">
        <w:rPr>
          <w:rFonts w:ascii="Arial" w:hAnsi="Arial" w:cs="Arial"/>
          <w:i/>
          <w:iCs/>
          <w:sz w:val="24"/>
          <w:szCs w:val="24"/>
          <w:lang w:val="es-MX"/>
        </w:rPr>
        <w:t>Conference</w:t>
      </w:r>
      <w:proofErr w:type="spellEnd"/>
      <w:r w:rsidRPr="00E4205A">
        <w:rPr>
          <w:rFonts w:ascii="Arial" w:hAnsi="Arial" w:cs="Arial"/>
          <w:i/>
          <w:iCs/>
          <w:sz w:val="24"/>
          <w:szCs w:val="24"/>
          <w:lang w:val="es-MX"/>
        </w:rPr>
        <w:t xml:space="preserve"> v. </w:t>
      </w:r>
      <w:proofErr w:type="spellStart"/>
      <w:r w:rsidRPr="00E4205A">
        <w:rPr>
          <w:rFonts w:ascii="Arial" w:hAnsi="Arial" w:cs="Arial"/>
          <w:i/>
          <w:iCs/>
          <w:sz w:val="24"/>
          <w:szCs w:val="24"/>
          <w:lang w:val="es-MX"/>
        </w:rPr>
        <w:t>United</w:t>
      </w:r>
      <w:proofErr w:type="spellEnd"/>
      <w:r w:rsidRPr="00E4205A">
        <w:rPr>
          <w:rFonts w:ascii="Arial" w:hAnsi="Arial" w:cs="Arial"/>
          <w:i/>
          <w:iCs/>
          <w:sz w:val="24"/>
          <w:szCs w:val="24"/>
          <w:lang w:val="es-MX"/>
        </w:rPr>
        <w:t xml:space="preserve"> </w:t>
      </w:r>
      <w:proofErr w:type="spellStart"/>
      <w:r w:rsidRPr="00E4205A">
        <w:rPr>
          <w:rFonts w:ascii="Arial" w:hAnsi="Arial" w:cs="Arial"/>
          <w:i/>
          <w:iCs/>
          <w:sz w:val="24"/>
          <w:szCs w:val="24"/>
          <w:lang w:val="es-MX"/>
        </w:rPr>
        <w:t>States</w:t>
      </w:r>
      <w:proofErr w:type="spellEnd"/>
      <w:r w:rsidRPr="00E4205A">
        <w:rPr>
          <w:rFonts w:ascii="Arial" w:hAnsi="Arial" w:cs="Arial"/>
          <w:i/>
          <w:iCs/>
          <w:sz w:val="24"/>
          <w:szCs w:val="24"/>
          <w:lang w:val="es-MX"/>
        </w:rPr>
        <w:t xml:space="preserve">; </w:t>
      </w:r>
      <w:proofErr w:type="spellStart"/>
      <w:r w:rsidRPr="00E4205A">
        <w:rPr>
          <w:rFonts w:ascii="Arial" w:hAnsi="Arial" w:cs="Arial"/>
          <w:i/>
          <w:iCs/>
          <w:sz w:val="24"/>
          <w:szCs w:val="24"/>
          <w:lang w:val="es-MX"/>
        </w:rPr>
        <w:t>Weinberger</w:t>
      </w:r>
      <w:proofErr w:type="spellEnd"/>
      <w:r w:rsidRPr="00E4205A">
        <w:rPr>
          <w:rFonts w:ascii="Arial" w:hAnsi="Arial" w:cs="Arial"/>
          <w:i/>
          <w:iCs/>
          <w:sz w:val="24"/>
          <w:szCs w:val="24"/>
          <w:lang w:val="es-MX"/>
        </w:rPr>
        <w:t xml:space="preserve"> v. </w:t>
      </w:r>
      <w:proofErr w:type="spellStart"/>
      <w:r w:rsidRPr="00E4205A">
        <w:rPr>
          <w:rFonts w:ascii="Arial" w:hAnsi="Arial" w:cs="Arial"/>
          <w:i/>
          <w:iCs/>
          <w:sz w:val="24"/>
          <w:szCs w:val="24"/>
          <w:lang w:val="es-MX"/>
        </w:rPr>
        <w:t>Bentex</w:t>
      </w:r>
      <w:proofErr w:type="spellEnd"/>
      <w:r w:rsidRPr="00E4205A">
        <w:rPr>
          <w:rFonts w:ascii="Arial" w:hAnsi="Arial" w:cs="Arial"/>
          <w:i/>
          <w:iCs/>
          <w:sz w:val="24"/>
          <w:szCs w:val="24"/>
          <w:lang w:val="es-MX"/>
        </w:rPr>
        <w:t xml:space="preserve"> </w:t>
      </w:r>
      <w:proofErr w:type="spellStart"/>
      <w:r w:rsidRPr="00E4205A">
        <w:rPr>
          <w:rFonts w:ascii="Arial" w:hAnsi="Arial" w:cs="Arial"/>
          <w:i/>
          <w:iCs/>
          <w:sz w:val="24"/>
          <w:szCs w:val="24"/>
          <w:lang w:val="es-MX"/>
        </w:rPr>
        <w:t>Pharmaceuticals</w:t>
      </w:r>
      <w:proofErr w:type="spellEnd"/>
      <w:r w:rsidRPr="00E4205A">
        <w:rPr>
          <w:rFonts w:ascii="Arial" w:hAnsi="Arial" w:cs="Arial"/>
          <w:i/>
          <w:iCs/>
          <w:sz w:val="24"/>
          <w:szCs w:val="24"/>
          <w:lang w:val="es-MX"/>
        </w:rPr>
        <w:t>, Inc</w:t>
      </w:r>
      <w:r w:rsidRPr="00E4205A">
        <w:rPr>
          <w:rFonts w:ascii="Arial" w:hAnsi="Arial" w:cs="Arial"/>
          <w:iCs/>
          <w:sz w:val="24"/>
          <w:szCs w:val="24"/>
          <w:lang w:val="es-MX"/>
        </w:rPr>
        <w:t>.</w:t>
      </w:r>
      <w:r>
        <w:rPr>
          <w:rFonts w:ascii="Arial" w:hAnsi="Arial" w:cs="Arial"/>
          <w:iCs/>
          <w:sz w:val="24"/>
          <w:szCs w:val="24"/>
          <w:lang w:val="es-MX"/>
        </w:rPr>
        <w:t xml:space="preserve"> -</w:t>
      </w:r>
      <w:r w:rsidRPr="00F96402">
        <w:rPr>
          <w:rFonts w:ascii="Arial" w:hAnsi="Arial" w:cs="Arial"/>
          <w:iCs/>
          <w:sz w:val="24"/>
          <w:szCs w:val="24"/>
          <w:lang w:val="es-MX"/>
        </w:rPr>
        <w:t>memoremos, por lo gráfico, lo que acontecía en la sociedad norteamericana para entonces</w:t>
      </w:r>
      <w:r>
        <w:rPr>
          <w:rFonts w:ascii="Arial" w:hAnsi="Arial" w:cs="Arial"/>
          <w:iCs/>
          <w:sz w:val="24"/>
          <w:szCs w:val="24"/>
          <w:lang w:val="es-MX"/>
        </w:rPr>
        <w:t>-</w:t>
      </w:r>
      <w:r w:rsidRPr="00F96402">
        <w:rPr>
          <w:rFonts w:ascii="Arial" w:hAnsi="Arial" w:cs="Arial"/>
          <w:iCs/>
          <w:sz w:val="24"/>
          <w:szCs w:val="24"/>
          <w:lang w:val="es-MX"/>
        </w:rPr>
        <w:t xml:space="preserve">), sin contemplar la reserva del criterio del precedente </w:t>
      </w:r>
      <w:r>
        <w:rPr>
          <w:rFonts w:ascii="Arial" w:hAnsi="Arial" w:cs="Arial"/>
          <w:iCs/>
          <w:sz w:val="24"/>
          <w:szCs w:val="24"/>
          <w:lang w:val="es-MX"/>
        </w:rPr>
        <w:t>“</w:t>
      </w:r>
      <w:r w:rsidRPr="00E4205A">
        <w:rPr>
          <w:rFonts w:ascii="Arial" w:hAnsi="Arial" w:cs="Arial"/>
          <w:i/>
          <w:iCs/>
          <w:sz w:val="24"/>
          <w:szCs w:val="24"/>
          <w:lang w:val="es-MX"/>
        </w:rPr>
        <w:t>Nader</w:t>
      </w:r>
      <w:r>
        <w:rPr>
          <w:rFonts w:ascii="Arial" w:hAnsi="Arial" w:cs="Arial"/>
          <w:iCs/>
          <w:sz w:val="24"/>
          <w:szCs w:val="24"/>
          <w:lang w:val="es-MX"/>
        </w:rPr>
        <w:t>”</w:t>
      </w:r>
      <w:r w:rsidRPr="00F96402">
        <w:rPr>
          <w:rFonts w:ascii="Arial" w:hAnsi="Arial" w:cs="Arial"/>
          <w:iCs/>
          <w:sz w:val="24"/>
          <w:szCs w:val="24"/>
          <w:lang w:val="es-MX"/>
        </w:rPr>
        <w:t xml:space="preserve">, recogida en </w:t>
      </w:r>
      <w:r>
        <w:rPr>
          <w:rFonts w:ascii="Arial" w:hAnsi="Arial" w:cs="Arial"/>
          <w:iCs/>
          <w:sz w:val="24"/>
          <w:szCs w:val="24"/>
          <w:lang w:val="es-MX"/>
        </w:rPr>
        <w:t xml:space="preserve">el </w:t>
      </w:r>
      <w:r w:rsidRPr="00F96402">
        <w:rPr>
          <w:rFonts w:ascii="Arial" w:hAnsi="Arial" w:cs="Arial"/>
          <w:iCs/>
          <w:sz w:val="24"/>
          <w:szCs w:val="24"/>
          <w:lang w:val="es-MX"/>
        </w:rPr>
        <w:t>decisorio</w:t>
      </w:r>
      <w:r>
        <w:rPr>
          <w:rFonts w:ascii="Arial" w:hAnsi="Arial" w:cs="Arial"/>
          <w:iCs/>
          <w:sz w:val="24"/>
          <w:szCs w:val="24"/>
          <w:lang w:val="es-MX"/>
        </w:rPr>
        <w:t xml:space="preserve"> y sostenido por nuestro Máximo Tribunal</w:t>
      </w:r>
      <w:r w:rsidRPr="00F96402">
        <w:rPr>
          <w:rFonts w:ascii="Arial" w:hAnsi="Arial" w:cs="Arial"/>
          <w:iCs/>
          <w:sz w:val="24"/>
          <w:szCs w:val="24"/>
          <w:lang w:val="es-MX"/>
        </w:rPr>
        <w:t xml:space="preserve">.  </w:t>
      </w:r>
      <w:r w:rsidRPr="0016669A">
        <w:rPr>
          <w:rFonts w:ascii="Arial" w:hAnsi="Arial" w:cs="Arial"/>
          <w:iCs/>
          <w:sz w:val="24"/>
          <w:szCs w:val="24"/>
          <w:lang w:val="es-AR"/>
        </w:rPr>
        <w:t xml:space="preserve">           </w:t>
      </w:r>
    </w:p>
    <w:p w:rsidR="00601100" w:rsidRPr="00F96402" w:rsidRDefault="00601100" w:rsidP="00601100">
      <w:pPr>
        <w:autoSpaceDE w:val="0"/>
        <w:autoSpaceDN w:val="0"/>
        <w:adjustRightInd w:val="0"/>
        <w:ind w:firstLine="1134"/>
        <w:jc w:val="both"/>
        <w:rPr>
          <w:rFonts w:ascii="Arial" w:hAnsi="Arial" w:cs="Arial"/>
          <w:iCs/>
          <w:sz w:val="24"/>
          <w:szCs w:val="24"/>
          <w:lang w:val="es-MX"/>
        </w:rPr>
      </w:pPr>
      <w:r w:rsidRPr="0016669A">
        <w:rPr>
          <w:rFonts w:ascii="Arial" w:hAnsi="Arial" w:cs="Arial"/>
          <w:iCs/>
          <w:sz w:val="24"/>
          <w:szCs w:val="24"/>
          <w:lang w:val="es-AR"/>
        </w:rPr>
        <w:t xml:space="preserve">                                                                     </w:t>
      </w:r>
      <w:r>
        <w:rPr>
          <w:rFonts w:ascii="Arial" w:hAnsi="Arial" w:cs="Arial"/>
          <w:iCs/>
          <w:sz w:val="24"/>
          <w:szCs w:val="24"/>
          <w:lang w:val="es-AR"/>
        </w:rPr>
        <w:t xml:space="preserve">                            </w:t>
      </w:r>
      <w:r w:rsidRPr="0016669A">
        <w:rPr>
          <w:rFonts w:ascii="Arial" w:hAnsi="Arial" w:cs="Arial"/>
          <w:iCs/>
          <w:sz w:val="24"/>
          <w:szCs w:val="24"/>
          <w:lang w:val="es-AR"/>
        </w:rPr>
        <w:t xml:space="preserve">                                                                                                                                                                                                                                                                      </w:t>
      </w:r>
      <w:r>
        <w:rPr>
          <w:rFonts w:ascii="Arial" w:hAnsi="Arial" w:cs="Arial"/>
          <w:iCs/>
          <w:sz w:val="24"/>
          <w:szCs w:val="24"/>
          <w:lang w:val="es-MX"/>
        </w:rPr>
        <w:t xml:space="preserve">             </w:t>
      </w:r>
    </w:p>
    <w:p w:rsidR="00601100" w:rsidRPr="0016669A" w:rsidRDefault="00601100" w:rsidP="00601100">
      <w:pPr>
        <w:autoSpaceDE w:val="0"/>
        <w:autoSpaceDN w:val="0"/>
        <w:adjustRightInd w:val="0"/>
        <w:ind w:firstLine="1134"/>
        <w:jc w:val="both"/>
        <w:rPr>
          <w:rFonts w:ascii="Arial" w:hAnsi="Arial" w:cs="Arial"/>
          <w:iCs/>
          <w:sz w:val="24"/>
          <w:szCs w:val="24"/>
          <w:lang w:val="es-MX"/>
        </w:rPr>
      </w:pPr>
      <w:r w:rsidRPr="0016669A">
        <w:rPr>
          <w:rFonts w:ascii="Arial" w:hAnsi="Arial" w:cs="Arial"/>
          <w:iCs/>
          <w:sz w:val="24"/>
          <w:szCs w:val="24"/>
          <w:lang w:val="es-MX"/>
        </w:rPr>
        <w:t xml:space="preserve">Esto es, una interpretación </w:t>
      </w:r>
      <w:r>
        <w:rPr>
          <w:rFonts w:ascii="Arial" w:hAnsi="Arial" w:cs="Arial"/>
          <w:iCs/>
          <w:sz w:val="24"/>
          <w:szCs w:val="24"/>
          <w:lang w:val="es-MX"/>
        </w:rPr>
        <w:t xml:space="preserve">sesgada </w:t>
      </w:r>
      <w:r w:rsidRPr="0016669A">
        <w:rPr>
          <w:rFonts w:ascii="Arial" w:hAnsi="Arial" w:cs="Arial"/>
          <w:iCs/>
          <w:sz w:val="24"/>
          <w:szCs w:val="24"/>
          <w:lang w:val="es-MX"/>
        </w:rPr>
        <w:t>de otra interpretación</w:t>
      </w:r>
      <w:r>
        <w:rPr>
          <w:rFonts w:ascii="Arial" w:hAnsi="Arial" w:cs="Arial"/>
          <w:iCs/>
          <w:sz w:val="24"/>
          <w:szCs w:val="24"/>
          <w:lang w:val="es-MX"/>
        </w:rPr>
        <w:t>, que recorta los precedentes que son citados por el Tribunal Supremo, y la doctrina que establece finalmente con sus excepciones</w:t>
      </w:r>
      <w:r w:rsidRPr="0016669A">
        <w:rPr>
          <w:rFonts w:ascii="Arial" w:hAnsi="Arial" w:cs="Arial"/>
          <w:iCs/>
          <w:sz w:val="24"/>
          <w:szCs w:val="24"/>
          <w:lang w:val="es-MX"/>
        </w:rPr>
        <w:t xml:space="preserve">.  </w:t>
      </w:r>
    </w:p>
    <w:p w:rsidR="00601100" w:rsidRPr="0016669A" w:rsidRDefault="00601100" w:rsidP="00601100">
      <w:pPr>
        <w:autoSpaceDE w:val="0"/>
        <w:autoSpaceDN w:val="0"/>
        <w:adjustRightInd w:val="0"/>
        <w:jc w:val="both"/>
        <w:rPr>
          <w:rFonts w:ascii="Arial" w:hAnsi="Arial" w:cs="Arial"/>
          <w:sz w:val="24"/>
          <w:szCs w:val="24"/>
          <w:lang w:val="es-AR"/>
        </w:rPr>
      </w:pPr>
    </w:p>
    <w:p w:rsidR="00601100" w:rsidRDefault="00601100" w:rsidP="00601100">
      <w:pPr>
        <w:ind w:firstLine="1134"/>
        <w:jc w:val="both"/>
        <w:rPr>
          <w:rFonts w:ascii="Arial" w:hAnsi="Arial" w:cs="Arial"/>
          <w:sz w:val="24"/>
          <w:szCs w:val="24"/>
        </w:rPr>
      </w:pPr>
      <w:r w:rsidRPr="002E7A82">
        <w:rPr>
          <w:rFonts w:ascii="Arial" w:hAnsi="Arial" w:cs="Arial"/>
          <w:sz w:val="24"/>
          <w:szCs w:val="24"/>
          <w:lang w:val="es-AR"/>
        </w:rPr>
        <w:t>E</w:t>
      </w:r>
      <w:r>
        <w:rPr>
          <w:rFonts w:ascii="Arial" w:hAnsi="Arial" w:cs="Arial"/>
          <w:sz w:val="24"/>
          <w:szCs w:val="24"/>
          <w:lang w:val="es-AR"/>
        </w:rPr>
        <w:t xml:space="preserve">sclarecido esto, es bueno recordar ya en nuestro derecho interno  </w:t>
      </w:r>
      <w:r w:rsidRPr="002E7A82">
        <w:rPr>
          <w:rFonts w:ascii="Arial" w:hAnsi="Arial" w:cs="Arial"/>
          <w:sz w:val="24"/>
          <w:szCs w:val="24"/>
          <w:lang w:val="es-AR"/>
        </w:rPr>
        <w:t xml:space="preserve">las </w:t>
      </w:r>
      <w:r>
        <w:rPr>
          <w:rFonts w:ascii="Arial" w:hAnsi="Arial" w:cs="Arial"/>
          <w:sz w:val="24"/>
          <w:szCs w:val="24"/>
          <w:lang w:val="es-AR"/>
        </w:rPr>
        <w:t xml:space="preserve">palabras del administrativista Roberto Enrique </w:t>
      </w:r>
      <w:proofErr w:type="spellStart"/>
      <w:r>
        <w:rPr>
          <w:rFonts w:ascii="Arial" w:hAnsi="Arial" w:cs="Arial"/>
          <w:sz w:val="24"/>
          <w:szCs w:val="24"/>
          <w:lang w:val="es-AR"/>
        </w:rPr>
        <w:t>Luqui</w:t>
      </w:r>
      <w:proofErr w:type="spellEnd"/>
      <w:r>
        <w:rPr>
          <w:rFonts w:ascii="Arial" w:hAnsi="Arial" w:cs="Arial"/>
          <w:sz w:val="24"/>
          <w:szCs w:val="24"/>
          <w:lang w:val="es-AR"/>
        </w:rPr>
        <w:t xml:space="preserve"> cuando, aún antes de “Ángel Estrada”, resaltaba la importancia de la materia sobre la cual se regulaba la delegación, sosteniendo que: </w:t>
      </w:r>
      <w:r w:rsidRPr="002E7A82">
        <w:rPr>
          <w:rFonts w:ascii="Arial" w:hAnsi="Arial" w:cs="Arial"/>
          <w:sz w:val="24"/>
          <w:szCs w:val="24"/>
        </w:rPr>
        <w:t xml:space="preserve">“distinguir la </w:t>
      </w:r>
      <w:r w:rsidRPr="002E7A82">
        <w:rPr>
          <w:rFonts w:ascii="Arial" w:hAnsi="Arial" w:cs="Arial"/>
          <w:b/>
          <w:sz w:val="24"/>
          <w:szCs w:val="24"/>
        </w:rPr>
        <w:t>materia objeto de la competencia</w:t>
      </w:r>
      <w:r w:rsidRPr="002E7A82">
        <w:rPr>
          <w:rFonts w:ascii="Arial" w:hAnsi="Arial" w:cs="Arial"/>
          <w:sz w:val="24"/>
          <w:szCs w:val="24"/>
        </w:rPr>
        <w:t>, constituye el elemento fundamental para admitir o no la constitucionalidad de dichos tribunales en nues</w:t>
      </w:r>
      <w:r>
        <w:rPr>
          <w:rFonts w:ascii="Arial" w:hAnsi="Arial" w:cs="Arial"/>
          <w:sz w:val="24"/>
          <w:szCs w:val="24"/>
        </w:rPr>
        <w:t xml:space="preserve">tro sistema jurídico político (…) Una cosa es que la Administración Pública controle la legalidad de los actos dictados por los </w:t>
      </w:r>
      <w:r w:rsidRPr="005C6776">
        <w:rPr>
          <w:rFonts w:ascii="Arial" w:hAnsi="Arial" w:cs="Arial"/>
          <w:b/>
          <w:sz w:val="24"/>
          <w:szCs w:val="24"/>
        </w:rPr>
        <w:t>órganos inferiores al Poder Ejecutiv</w:t>
      </w:r>
      <w:r>
        <w:rPr>
          <w:rFonts w:ascii="Arial" w:hAnsi="Arial" w:cs="Arial"/>
          <w:sz w:val="24"/>
          <w:szCs w:val="24"/>
        </w:rPr>
        <w:t xml:space="preserve">o </w:t>
      </w:r>
      <w:r w:rsidRPr="00BD476D">
        <w:rPr>
          <w:rFonts w:ascii="Arial" w:hAnsi="Arial" w:cs="Arial"/>
          <w:sz w:val="24"/>
          <w:szCs w:val="24"/>
          <w:lang w:val="es-AR"/>
        </w:rPr>
        <w:t>y trate al mismo tiempo de “</w:t>
      </w:r>
      <w:proofErr w:type="spellStart"/>
      <w:r w:rsidRPr="00BD476D">
        <w:rPr>
          <w:rFonts w:ascii="Arial" w:hAnsi="Arial" w:cs="Arial"/>
          <w:sz w:val="24"/>
          <w:szCs w:val="24"/>
          <w:lang w:val="es-AR"/>
        </w:rPr>
        <w:t>juridizar</w:t>
      </w:r>
      <w:proofErr w:type="spellEnd"/>
      <w:r w:rsidRPr="00BD476D">
        <w:rPr>
          <w:rFonts w:ascii="Arial" w:hAnsi="Arial" w:cs="Arial"/>
          <w:sz w:val="24"/>
          <w:szCs w:val="24"/>
          <w:lang w:val="es-AR"/>
        </w:rPr>
        <w:t xml:space="preserve">” el procedimiento, y </w:t>
      </w:r>
      <w:r w:rsidRPr="00CE5506">
        <w:rPr>
          <w:rFonts w:ascii="Arial" w:hAnsi="Arial" w:cs="Arial"/>
          <w:b/>
          <w:sz w:val="24"/>
          <w:szCs w:val="24"/>
          <w:lang w:val="es-AR"/>
        </w:rPr>
        <w:t>otra muy distinta que resuelva conflictos intersubjetivos sobre materias del derecho común, por más que contra sus decisiones se pueda recurrir ante los tribunales judiciales. Lo primero puede ser constitucional, lo segundo nunca</w:t>
      </w:r>
      <w:r>
        <w:rPr>
          <w:rFonts w:ascii="Arial" w:hAnsi="Arial" w:cs="Arial"/>
          <w:sz w:val="24"/>
          <w:szCs w:val="24"/>
          <w:lang w:val="es-AR"/>
        </w:rPr>
        <w:t>” (lo puesto de resalto me pertenece)</w:t>
      </w:r>
      <w:r>
        <w:rPr>
          <w:rStyle w:val="Refdenotaalpie"/>
          <w:rFonts w:ascii="Arial" w:hAnsi="Arial" w:cs="Arial"/>
          <w:sz w:val="24"/>
          <w:szCs w:val="24"/>
          <w:lang w:val="es-AR"/>
        </w:rPr>
        <w:footnoteReference w:id="26"/>
      </w:r>
    </w:p>
    <w:p w:rsidR="00601100" w:rsidRDefault="00601100" w:rsidP="00601100">
      <w:pPr>
        <w:ind w:firstLine="1134"/>
        <w:jc w:val="both"/>
        <w:rPr>
          <w:rFonts w:ascii="Arial" w:hAnsi="Arial" w:cs="Arial"/>
          <w:sz w:val="24"/>
          <w:szCs w:val="24"/>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De tal modo, </w:t>
      </w:r>
      <w:r w:rsidRPr="002E7A82">
        <w:rPr>
          <w:rFonts w:ascii="Arial" w:hAnsi="Arial" w:cs="Arial"/>
          <w:sz w:val="24"/>
          <w:szCs w:val="24"/>
          <w:lang w:val="es-MX"/>
        </w:rPr>
        <w:t>es central</w:t>
      </w:r>
      <w:r>
        <w:rPr>
          <w:rFonts w:ascii="Arial" w:hAnsi="Arial" w:cs="Arial"/>
          <w:sz w:val="24"/>
          <w:szCs w:val="24"/>
          <w:lang w:val="es-MX"/>
        </w:rPr>
        <w:t xml:space="preserve">, el enfoque sobre la </w:t>
      </w:r>
      <w:r w:rsidRPr="002E7A82">
        <w:rPr>
          <w:rFonts w:ascii="Arial" w:hAnsi="Arial" w:cs="Arial"/>
          <w:sz w:val="24"/>
          <w:szCs w:val="24"/>
          <w:lang w:val="es-MX"/>
        </w:rPr>
        <w:t xml:space="preserve"> importancia de la materia de que se trate, y la jerarquía que </w:t>
      </w:r>
      <w:r>
        <w:rPr>
          <w:rFonts w:ascii="Arial" w:hAnsi="Arial" w:cs="Arial"/>
          <w:sz w:val="24"/>
          <w:szCs w:val="24"/>
          <w:lang w:val="es-MX"/>
        </w:rPr>
        <w:t xml:space="preserve">esta </w:t>
      </w:r>
      <w:r w:rsidRPr="002E7A82">
        <w:rPr>
          <w:rFonts w:ascii="Arial" w:hAnsi="Arial" w:cs="Arial"/>
          <w:sz w:val="24"/>
          <w:szCs w:val="24"/>
          <w:lang w:val="es-MX"/>
        </w:rPr>
        <w:t xml:space="preserve">ocupa en el paradigma. </w:t>
      </w:r>
      <w:r>
        <w:rPr>
          <w:rFonts w:ascii="Arial" w:hAnsi="Arial" w:cs="Arial"/>
          <w:sz w:val="24"/>
          <w:szCs w:val="24"/>
          <w:lang w:val="es-MX"/>
        </w:rPr>
        <w:t>Con lo cual retomamos nuestras reflexiones liminares.</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t>En efecto, l</w:t>
      </w:r>
      <w:r w:rsidRPr="002E7A82">
        <w:rPr>
          <w:rFonts w:ascii="Arial" w:hAnsi="Arial" w:cs="Arial"/>
          <w:sz w:val="24"/>
          <w:szCs w:val="24"/>
          <w:lang w:val="es-MX"/>
        </w:rPr>
        <w:t>a distinción de la materia nos lleva a la jerarquía. Justamente, no todo es igual</w:t>
      </w:r>
      <w:r>
        <w:rPr>
          <w:rStyle w:val="Refdenotaalpie"/>
          <w:rFonts w:ascii="Arial" w:hAnsi="Arial" w:cs="Arial"/>
          <w:sz w:val="24"/>
          <w:szCs w:val="24"/>
          <w:lang w:val="es-MX"/>
        </w:rPr>
        <w:footnoteReference w:id="27"/>
      </w:r>
      <w:r w:rsidRPr="002E7A82">
        <w:rPr>
          <w:rFonts w:ascii="Arial" w:hAnsi="Arial" w:cs="Arial"/>
          <w:sz w:val="24"/>
          <w:szCs w:val="24"/>
          <w:lang w:val="es-MX"/>
        </w:rPr>
        <w:t xml:space="preserve">, no todo </w:t>
      </w:r>
      <w:r>
        <w:rPr>
          <w:rFonts w:ascii="Arial" w:hAnsi="Arial" w:cs="Arial"/>
          <w:sz w:val="24"/>
          <w:szCs w:val="24"/>
          <w:lang w:val="es-MX"/>
        </w:rPr>
        <w:t>derecho puede ser debatido en el ámbito administrativo reemplazando sin más la justicia ordinaria, puesto que es una vulneración a los cimientos institucionales de nuestro país, fundados en la división de poderes -o de funciones-, con celosos mecanismos de control cruzado entre ellos.</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MX"/>
        </w:rPr>
      </w:pPr>
      <w:r>
        <w:rPr>
          <w:rFonts w:ascii="Arial" w:hAnsi="Arial" w:cs="Arial"/>
          <w:sz w:val="24"/>
          <w:szCs w:val="24"/>
          <w:lang w:val="es-MX"/>
        </w:rPr>
        <w:lastRenderedPageBreak/>
        <w:t>Sin duda que, por la posición predominante que ocupa la protección de los trabajadores en el orden de prelación normativa</w:t>
      </w:r>
      <w:r>
        <w:rPr>
          <w:rStyle w:val="Refdenotaalpie"/>
          <w:rFonts w:ascii="Arial" w:hAnsi="Arial" w:cs="Arial"/>
          <w:sz w:val="24"/>
          <w:szCs w:val="24"/>
          <w:lang w:val="es-MX"/>
        </w:rPr>
        <w:footnoteReference w:id="28"/>
      </w:r>
      <w:r>
        <w:rPr>
          <w:rFonts w:ascii="Arial" w:hAnsi="Arial" w:cs="Arial"/>
          <w:sz w:val="24"/>
          <w:szCs w:val="24"/>
          <w:lang w:val="es-MX"/>
        </w:rPr>
        <w:t xml:space="preserve">, por ser un sujeto de preferente tutela, protegido por el artículo 14bis y el 75 inc. 22 (primero en el marco del constitucionalismo social –1957-, y luego por el constitucionalismo de los Derechos Humanos Fundamentales -1994-), y por su materia, la resolución de sus conflictos no podría ser competencia de </w:t>
      </w:r>
      <w:r w:rsidRPr="00810471">
        <w:rPr>
          <w:rFonts w:ascii="Arial" w:hAnsi="Arial" w:cs="Arial"/>
          <w:sz w:val="24"/>
          <w:szCs w:val="24"/>
          <w:lang w:val="es-MX"/>
        </w:rPr>
        <w:t>tribunales administrativos, y mucho menos de carácter obligatorio.</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AR"/>
        </w:rPr>
      </w:pPr>
      <w:r w:rsidRPr="00F81C2E">
        <w:rPr>
          <w:rFonts w:ascii="Arial" w:hAnsi="Arial" w:cs="Arial"/>
          <w:sz w:val="24"/>
          <w:szCs w:val="24"/>
          <w:lang w:val="es-AR"/>
        </w:rPr>
        <w:t xml:space="preserve">Entonces, según el </w:t>
      </w:r>
      <w:r>
        <w:rPr>
          <w:rFonts w:ascii="Arial" w:hAnsi="Arial" w:cs="Arial"/>
          <w:sz w:val="24"/>
          <w:szCs w:val="24"/>
          <w:lang w:val="es-AR"/>
        </w:rPr>
        <w:t xml:space="preserve">referido </w:t>
      </w:r>
      <w:r w:rsidRPr="00F81C2E">
        <w:rPr>
          <w:rFonts w:ascii="Arial" w:hAnsi="Arial" w:cs="Arial"/>
          <w:sz w:val="24"/>
          <w:szCs w:val="24"/>
          <w:lang w:val="es-AR"/>
        </w:rPr>
        <w:t xml:space="preserve">autor, un Tribunal Administrativo podría considerarse constitucional si el objeto es revisar la legalidad de los actos emanados de los </w:t>
      </w:r>
      <w:r w:rsidRPr="00F81C2E">
        <w:rPr>
          <w:rFonts w:ascii="Arial" w:hAnsi="Arial" w:cs="Arial"/>
          <w:b/>
          <w:sz w:val="24"/>
          <w:szCs w:val="24"/>
          <w:lang w:val="es-AR"/>
        </w:rPr>
        <w:t>órganos inferiores al Poder Ejecutivo</w:t>
      </w:r>
      <w:r w:rsidRPr="00F81C2E">
        <w:rPr>
          <w:rFonts w:ascii="Arial" w:hAnsi="Arial" w:cs="Arial"/>
          <w:sz w:val="24"/>
          <w:szCs w:val="24"/>
          <w:lang w:val="es-AR"/>
        </w:rPr>
        <w:t xml:space="preserve">, y la materia es de naturaleza administrativa; pero niega de manera contundente que pueda afirmarse la constitucionalidad, si se trata de la Administración Pública juzgando controversias entre particulares en materia de derecho común, aun cuando se les asegure ulterior revisión judicial. </w:t>
      </w:r>
    </w:p>
    <w:p w:rsidR="00601100"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MX"/>
        </w:rPr>
      </w:pPr>
      <w:r w:rsidRPr="0064007D">
        <w:rPr>
          <w:rFonts w:ascii="Arial" w:hAnsi="Arial" w:cs="Arial"/>
          <w:sz w:val="24"/>
          <w:szCs w:val="24"/>
          <w:lang w:val="es-MX"/>
        </w:rPr>
        <w:t xml:space="preserve">Asimismo, destaco los términos </w:t>
      </w:r>
      <w:r>
        <w:rPr>
          <w:rFonts w:ascii="Arial" w:hAnsi="Arial" w:cs="Arial"/>
          <w:sz w:val="24"/>
          <w:szCs w:val="24"/>
          <w:lang w:val="es-MX"/>
        </w:rPr>
        <w:t xml:space="preserve">de </w:t>
      </w:r>
      <w:r w:rsidRPr="0064007D">
        <w:rPr>
          <w:rFonts w:ascii="Arial" w:hAnsi="Arial" w:cs="Arial"/>
          <w:sz w:val="24"/>
          <w:szCs w:val="24"/>
          <w:lang w:val="es-MX"/>
        </w:rPr>
        <w:t xml:space="preserve">Augusto C. </w:t>
      </w:r>
      <w:proofErr w:type="spellStart"/>
      <w:r w:rsidRPr="0064007D">
        <w:rPr>
          <w:rFonts w:ascii="Arial" w:hAnsi="Arial" w:cs="Arial"/>
          <w:sz w:val="24"/>
          <w:szCs w:val="24"/>
          <w:lang w:val="es-MX"/>
        </w:rPr>
        <w:t>Belluscio</w:t>
      </w:r>
      <w:proofErr w:type="spellEnd"/>
      <w:r w:rsidRPr="0064007D">
        <w:rPr>
          <w:rFonts w:ascii="Arial" w:hAnsi="Arial" w:cs="Arial"/>
          <w:sz w:val="24"/>
          <w:szCs w:val="24"/>
          <w:lang w:val="es-MX"/>
        </w:rPr>
        <w:t xml:space="preserve"> –Ministro de la Corte- en su voto</w:t>
      </w:r>
      <w:r>
        <w:rPr>
          <w:rFonts w:ascii="Arial" w:hAnsi="Arial" w:cs="Arial"/>
          <w:sz w:val="24"/>
          <w:szCs w:val="24"/>
          <w:lang w:val="es-MX"/>
        </w:rPr>
        <w:t xml:space="preserve"> </w:t>
      </w:r>
      <w:r w:rsidRPr="00471484">
        <w:rPr>
          <w:rFonts w:ascii="Arial" w:hAnsi="Arial" w:cs="Arial"/>
          <w:sz w:val="24"/>
          <w:szCs w:val="24"/>
          <w:lang w:val="es-MX"/>
        </w:rPr>
        <w:t>en el aludido “Ángel Estrada”</w:t>
      </w:r>
      <w:r>
        <w:rPr>
          <w:rFonts w:ascii="Arial" w:hAnsi="Arial" w:cs="Arial"/>
          <w:sz w:val="24"/>
          <w:szCs w:val="24"/>
          <w:lang w:val="es-MX"/>
        </w:rPr>
        <w:t xml:space="preserve"> quien</w:t>
      </w:r>
      <w:r w:rsidRPr="0064007D">
        <w:rPr>
          <w:rFonts w:ascii="Arial" w:hAnsi="Arial" w:cs="Arial"/>
          <w:sz w:val="24"/>
          <w:szCs w:val="24"/>
          <w:lang w:val="es-MX"/>
        </w:rPr>
        <w:t xml:space="preserve"> sostiene expresamente el carácter restrictivo de la delegación. Manifestó:</w:t>
      </w:r>
      <w:r w:rsidRPr="0064007D">
        <w:rPr>
          <w:rFonts w:ascii="Arial" w:hAnsi="Arial" w:cs="Arial"/>
          <w:sz w:val="24"/>
          <w:szCs w:val="24"/>
          <w:lang w:val="es-AR"/>
        </w:rPr>
        <w:t xml:space="preserve"> “(…) esta Corte ha sostenido que la atribución de competencia jurisdiccional a los órganos y entes administrativos debe ser interpretada con carácter estricto (Fallos: 234:715), debido a la excepcionalidad de la jurisdicción confiada a aquéllos para conocer en cuestiones que, en el orden normal de las instituciones, corresponde decidir a los jueces (conf. arts. 75 inc. 12, 109, 116 y 117 de la Constitución Nacional, Fallos: 290:237)” (Considerando 9)</w:t>
      </w:r>
      <w:r>
        <w:rPr>
          <w:rFonts w:ascii="Arial" w:hAnsi="Arial" w:cs="Arial"/>
          <w:sz w:val="24"/>
          <w:szCs w:val="24"/>
          <w:lang w:val="es-MX"/>
        </w:rPr>
        <w:t>.</w:t>
      </w:r>
    </w:p>
    <w:p w:rsidR="00601100" w:rsidRPr="00060905"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AR"/>
        </w:rPr>
        <w:t xml:space="preserve">Para concluir las apreciaciones generales a partir de </w:t>
      </w:r>
      <w:r w:rsidRPr="00464ADC">
        <w:rPr>
          <w:rFonts w:ascii="Arial" w:hAnsi="Arial" w:cs="Arial"/>
          <w:sz w:val="24"/>
          <w:szCs w:val="24"/>
          <w:lang w:val="es-AR"/>
        </w:rPr>
        <w:t>“Ángel Estrada”</w:t>
      </w:r>
      <w:r>
        <w:rPr>
          <w:rFonts w:ascii="Arial" w:hAnsi="Arial" w:cs="Arial"/>
          <w:sz w:val="24"/>
          <w:szCs w:val="24"/>
          <w:lang w:val="es-AR"/>
        </w:rPr>
        <w:t xml:space="preserve">, convoco algunas reflexiones de administrativistas que afirman su importancia. </w:t>
      </w:r>
    </w:p>
    <w:p w:rsidR="00601100"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rPr>
      </w:pPr>
      <w:r>
        <w:rPr>
          <w:rFonts w:ascii="Arial" w:hAnsi="Arial" w:cs="Arial"/>
          <w:sz w:val="24"/>
          <w:szCs w:val="24"/>
          <w:lang w:val="es-AR"/>
        </w:rPr>
        <w:t xml:space="preserve">Para </w:t>
      </w:r>
      <w:proofErr w:type="spellStart"/>
      <w:r>
        <w:rPr>
          <w:rFonts w:ascii="Arial" w:hAnsi="Arial" w:cs="Arial"/>
          <w:sz w:val="24"/>
          <w:szCs w:val="24"/>
          <w:lang w:val="es-AR"/>
        </w:rPr>
        <w:t>Cassagne</w:t>
      </w:r>
      <w:proofErr w:type="spellEnd"/>
      <w:r>
        <w:rPr>
          <w:rFonts w:ascii="Arial" w:hAnsi="Arial" w:cs="Arial"/>
          <w:sz w:val="24"/>
          <w:szCs w:val="24"/>
          <w:lang w:val="es-AR"/>
        </w:rPr>
        <w:t xml:space="preserve"> a partir del mismo </w:t>
      </w:r>
      <w:r w:rsidRPr="009B1DDC">
        <w:rPr>
          <w:rFonts w:ascii="Arial" w:hAnsi="Arial" w:cs="Arial"/>
          <w:sz w:val="24"/>
          <w:szCs w:val="24"/>
        </w:rPr>
        <w:t xml:space="preserve">“la Corte ha (…) profundizando la interpretación del principio de separación de poderes, el carácter </w:t>
      </w:r>
      <w:proofErr w:type="spellStart"/>
      <w:r w:rsidRPr="009B1DDC">
        <w:rPr>
          <w:rFonts w:ascii="Arial" w:hAnsi="Arial" w:cs="Arial"/>
          <w:sz w:val="24"/>
          <w:szCs w:val="24"/>
        </w:rPr>
        <w:t>judicialista</w:t>
      </w:r>
      <w:proofErr w:type="spellEnd"/>
      <w:r w:rsidRPr="009B1DDC">
        <w:rPr>
          <w:rFonts w:ascii="Arial" w:hAnsi="Arial" w:cs="Arial"/>
          <w:sz w:val="24"/>
          <w:szCs w:val="24"/>
        </w:rPr>
        <w:t xml:space="preserve"> de la Constitución y su armonía con la garantía de la defensa en juicio de las personas y sus derechos (art. 18 CN) (…).La arquitectura de toda la construcción jurídica que desenvuelve el Alto Tribunal en este caso descansa sobre la interpretación constitucional del principio </w:t>
      </w:r>
      <w:proofErr w:type="spellStart"/>
      <w:r w:rsidRPr="009B1DDC">
        <w:rPr>
          <w:rFonts w:ascii="Arial" w:hAnsi="Arial" w:cs="Arial"/>
          <w:sz w:val="24"/>
          <w:szCs w:val="24"/>
        </w:rPr>
        <w:t>judicialista</w:t>
      </w:r>
      <w:proofErr w:type="spellEnd"/>
      <w:r w:rsidRPr="009B1DDC">
        <w:rPr>
          <w:rFonts w:ascii="Arial" w:hAnsi="Arial" w:cs="Arial"/>
          <w:sz w:val="24"/>
          <w:szCs w:val="24"/>
        </w:rPr>
        <w:t>, en el marco de la doctrina de separación de los poderes. Y dado que se ha puesto especial énfasis en la prohibición del ejercicio de funciones judiciales por parte del Ejecutivo prescripta en el art. 109 CN (sin correspondencia alguna con la Constitución norteamericana) con expresa mención de sus antecedentes históricos (…)"</w:t>
      </w:r>
      <w:r w:rsidRPr="009B1DDC">
        <w:rPr>
          <w:rFonts w:ascii="Arial" w:hAnsi="Arial" w:cs="Arial"/>
          <w:sz w:val="24"/>
          <w:szCs w:val="24"/>
          <w:vertAlign w:val="superscript"/>
        </w:rPr>
        <w:footnoteReference w:id="29"/>
      </w:r>
      <w:r w:rsidRPr="009B1DDC">
        <w:rPr>
          <w:rFonts w:ascii="Arial" w:hAnsi="Arial" w:cs="Arial"/>
          <w:sz w:val="24"/>
          <w:szCs w:val="24"/>
        </w:rPr>
        <w:t xml:space="preserve"> </w:t>
      </w:r>
    </w:p>
    <w:p w:rsidR="00601100" w:rsidRPr="009B1DDC" w:rsidRDefault="00601100" w:rsidP="00601100">
      <w:pPr>
        <w:ind w:firstLine="1134"/>
        <w:jc w:val="both"/>
        <w:rPr>
          <w:rFonts w:ascii="Arial" w:hAnsi="Arial" w:cs="Arial"/>
          <w:sz w:val="24"/>
          <w:szCs w:val="24"/>
        </w:rPr>
      </w:pPr>
    </w:p>
    <w:p w:rsidR="00601100" w:rsidRPr="0063210D" w:rsidRDefault="00601100" w:rsidP="00601100">
      <w:pPr>
        <w:ind w:firstLine="1134"/>
        <w:jc w:val="both"/>
        <w:rPr>
          <w:rFonts w:ascii="Arial" w:hAnsi="Arial" w:cs="Arial"/>
          <w:sz w:val="24"/>
          <w:szCs w:val="24"/>
          <w:lang w:val="es-AR"/>
        </w:rPr>
      </w:pPr>
      <w:r>
        <w:rPr>
          <w:rFonts w:ascii="Arial" w:hAnsi="Arial" w:cs="Arial"/>
          <w:sz w:val="24"/>
          <w:szCs w:val="24"/>
          <w:lang w:val="es-AR"/>
        </w:rPr>
        <w:t>Asimismo, afirma que</w:t>
      </w:r>
      <w:r w:rsidRPr="009B1DDC">
        <w:rPr>
          <w:rFonts w:ascii="Arial" w:hAnsi="Arial" w:cs="Arial"/>
          <w:sz w:val="24"/>
          <w:szCs w:val="24"/>
          <w:lang w:val="es-AR"/>
        </w:rPr>
        <w:t xml:space="preserve"> </w:t>
      </w:r>
      <w:r>
        <w:rPr>
          <w:rFonts w:ascii="Arial" w:hAnsi="Arial" w:cs="Arial"/>
          <w:sz w:val="24"/>
          <w:szCs w:val="24"/>
          <w:lang w:val="es-AR"/>
        </w:rPr>
        <w:t xml:space="preserve">“(…) </w:t>
      </w:r>
      <w:r w:rsidRPr="0063210D">
        <w:rPr>
          <w:rFonts w:ascii="Arial" w:hAnsi="Arial" w:cs="Arial"/>
          <w:sz w:val="24"/>
          <w:szCs w:val="24"/>
          <w:lang w:val="es-AR"/>
        </w:rPr>
        <w:t xml:space="preserve">el derecho administrativo, no obstante constituir –como modernamente se sostiene – el derecho común de las Administraciones Públicas, cede su lugar (derecho sustantivo y jurisdicción especial) al derecho privado, cuya jurisdicción general es la ordinaria (civil o comercial) cuando se trata de litigios entre particulares extraños a la especialidad de los marcos regulatorios. Esta interpretación, verdadera construcción jurídica, permite cumplir con el principio de </w:t>
      </w:r>
      <w:r w:rsidRPr="0063210D">
        <w:rPr>
          <w:rFonts w:ascii="Arial" w:hAnsi="Arial" w:cs="Arial"/>
          <w:sz w:val="24"/>
          <w:szCs w:val="24"/>
          <w:lang w:val="es-AR"/>
        </w:rPr>
        <w:lastRenderedPageBreak/>
        <w:t>separación de poderes que surge de nuestra versión constitucional (fundamentalmente arts. 109, 18 y 116</w:t>
      </w:r>
      <w:r>
        <w:rPr>
          <w:rFonts w:ascii="Arial" w:hAnsi="Arial" w:cs="Arial"/>
          <w:sz w:val="24"/>
          <w:szCs w:val="24"/>
          <w:lang w:val="es-AR"/>
        </w:rPr>
        <w:t xml:space="preserve"> CN)</w:t>
      </w:r>
      <w:r w:rsidRPr="008455AA">
        <w:t xml:space="preserve"> </w:t>
      </w:r>
      <w:r w:rsidRPr="008455AA">
        <w:rPr>
          <w:rFonts w:ascii="Arial" w:hAnsi="Arial" w:cs="Arial"/>
          <w:sz w:val="24"/>
          <w:szCs w:val="24"/>
          <w:lang w:val="es-AR"/>
        </w:rPr>
        <w:t>Tampoco se puede dudar acerca de que en la función de enhebrar los principios con la realidad, este fallo (y la historia probablemente así lo registre) traduce una construcción coherente que garantiza la tutela judicial efectiva tanto de los derechos de los usuarios como de los concesionarios y/o licenciatarios.</w:t>
      </w:r>
      <w:r>
        <w:rPr>
          <w:rFonts w:ascii="Arial" w:hAnsi="Arial" w:cs="Arial"/>
          <w:sz w:val="24"/>
          <w:szCs w:val="24"/>
          <w:lang w:val="es-AR"/>
        </w:rPr>
        <w:t>(…)”</w:t>
      </w:r>
      <w:r w:rsidRPr="0063210D">
        <w:rPr>
          <w:rFonts w:ascii="Arial" w:hAnsi="Arial" w:cs="Arial"/>
          <w:sz w:val="24"/>
          <w:szCs w:val="24"/>
          <w:lang w:val="es-AR"/>
        </w:rPr>
        <w:t xml:space="preserve"> </w:t>
      </w:r>
    </w:p>
    <w:p w:rsidR="00601100"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AR"/>
        </w:rPr>
        <w:t xml:space="preserve">Concluye que, </w:t>
      </w:r>
      <w:r w:rsidRPr="0063210D">
        <w:rPr>
          <w:rFonts w:ascii="Arial" w:hAnsi="Arial" w:cs="Arial"/>
          <w:sz w:val="24"/>
          <w:szCs w:val="24"/>
          <w:lang w:val="es-AR"/>
        </w:rPr>
        <w:t>otro aspecto relevante</w:t>
      </w:r>
      <w:r>
        <w:rPr>
          <w:rFonts w:ascii="Arial" w:hAnsi="Arial" w:cs="Arial"/>
          <w:sz w:val="24"/>
          <w:szCs w:val="24"/>
          <w:lang w:val="es-AR"/>
        </w:rPr>
        <w:t>,</w:t>
      </w:r>
      <w:r w:rsidRPr="0063210D">
        <w:rPr>
          <w:rFonts w:ascii="Arial" w:hAnsi="Arial" w:cs="Arial"/>
          <w:sz w:val="24"/>
          <w:szCs w:val="24"/>
          <w:lang w:val="es-AR"/>
        </w:rPr>
        <w:t xml:space="preserve"> </w:t>
      </w:r>
      <w:r>
        <w:rPr>
          <w:rFonts w:ascii="Arial" w:hAnsi="Arial" w:cs="Arial"/>
          <w:sz w:val="24"/>
          <w:szCs w:val="24"/>
          <w:lang w:val="es-AR"/>
        </w:rPr>
        <w:t xml:space="preserve">“(…) </w:t>
      </w:r>
      <w:r w:rsidRPr="0063210D">
        <w:rPr>
          <w:rFonts w:ascii="Arial" w:hAnsi="Arial" w:cs="Arial"/>
          <w:sz w:val="24"/>
          <w:szCs w:val="24"/>
          <w:lang w:val="es-AR"/>
        </w:rPr>
        <w:t xml:space="preserve">estriba en no haber caído en la tentación de fundar las funciones jurisdiccionales de los entes reguladores en el art. 42 CN, ya que esta norma, ni siquiera en forma implícita prescribe su permisión, aparte de que una interpretación contraria choca abiertamente con los principios que rigen el sistema </w:t>
      </w:r>
      <w:proofErr w:type="spellStart"/>
      <w:r w:rsidRPr="0063210D">
        <w:rPr>
          <w:rFonts w:ascii="Arial" w:hAnsi="Arial" w:cs="Arial"/>
          <w:sz w:val="24"/>
          <w:szCs w:val="24"/>
          <w:lang w:val="es-AR"/>
        </w:rPr>
        <w:t>judicialista</w:t>
      </w:r>
      <w:proofErr w:type="spellEnd"/>
      <w:r w:rsidRPr="0063210D">
        <w:rPr>
          <w:rFonts w:ascii="Arial" w:hAnsi="Arial" w:cs="Arial"/>
          <w:sz w:val="24"/>
          <w:szCs w:val="24"/>
          <w:lang w:val="es-AR"/>
        </w:rPr>
        <w:t xml:space="preserve"> de nuestra Constitución que la</w:t>
      </w:r>
      <w:r>
        <w:rPr>
          <w:rFonts w:ascii="Arial" w:hAnsi="Arial" w:cs="Arial"/>
          <w:sz w:val="24"/>
          <w:szCs w:val="24"/>
          <w:lang w:val="es-AR"/>
        </w:rPr>
        <w:t xml:space="preserve"> Corte ha resaltado una vez más (…)”</w:t>
      </w:r>
      <w:r w:rsidRPr="0063210D">
        <w:rPr>
          <w:rFonts w:ascii="Arial" w:hAnsi="Arial" w:cs="Arial"/>
          <w:sz w:val="24"/>
          <w:szCs w:val="24"/>
          <w:lang w:val="es-AR"/>
        </w:rPr>
        <w:t xml:space="preserve"> </w:t>
      </w:r>
    </w:p>
    <w:p w:rsidR="00601100" w:rsidRPr="0063210D" w:rsidRDefault="00601100" w:rsidP="00601100">
      <w:pPr>
        <w:ind w:firstLine="1134"/>
        <w:jc w:val="both"/>
        <w:rPr>
          <w:rFonts w:ascii="Arial" w:hAnsi="Arial" w:cs="Arial"/>
          <w:sz w:val="24"/>
          <w:szCs w:val="24"/>
          <w:lang w:val="es-AR"/>
        </w:rPr>
      </w:pPr>
    </w:p>
    <w:p w:rsidR="00601100" w:rsidRDefault="00601100" w:rsidP="00601100">
      <w:pPr>
        <w:ind w:firstLine="1134"/>
        <w:jc w:val="both"/>
        <w:rPr>
          <w:rFonts w:ascii="Arial" w:hAnsi="Arial" w:cs="Arial"/>
          <w:sz w:val="24"/>
          <w:szCs w:val="24"/>
          <w:lang w:val="es-AR"/>
        </w:rPr>
      </w:pPr>
      <w:r>
        <w:rPr>
          <w:rFonts w:ascii="Arial" w:hAnsi="Arial" w:cs="Arial"/>
          <w:sz w:val="24"/>
          <w:szCs w:val="24"/>
          <w:lang w:val="es-AR"/>
        </w:rPr>
        <w:t>Por su parte,</w:t>
      </w:r>
      <w:r w:rsidRPr="00AD6B9E">
        <w:rPr>
          <w:rFonts w:ascii="Arial" w:hAnsi="Arial" w:cs="Arial"/>
          <w:sz w:val="24"/>
          <w:szCs w:val="24"/>
          <w:lang w:val="es-AR"/>
        </w:rPr>
        <w:t xml:space="preserve"> Agustín Gordillo remarca que " (…)</w:t>
      </w:r>
      <w:r>
        <w:rPr>
          <w:rFonts w:ascii="Arial" w:hAnsi="Arial" w:cs="Arial"/>
          <w:sz w:val="24"/>
          <w:szCs w:val="24"/>
          <w:lang w:val="es-AR"/>
        </w:rPr>
        <w:t xml:space="preserve"> </w:t>
      </w:r>
      <w:r w:rsidRPr="00AD6B9E">
        <w:rPr>
          <w:rFonts w:ascii="Arial" w:hAnsi="Arial" w:cs="Arial"/>
          <w:sz w:val="24"/>
          <w:szCs w:val="24"/>
          <w:lang w:val="es-AR"/>
        </w:rPr>
        <w:t xml:space="preserve">a propósito de </w:t>
      </w:r>
      <w:r w:rsidRPr="00AD6B9E">
        <w:rPr>
          <w:rFonts w:ascii="Arial" w:hAnsi="Arial" w:cs="Arial"/>
          <w:i/>
          <w:iCs/>
          <w:sz w:val="24"/>
          <w:szCs w:val="24"/>
          <w:lang w:val="es-AR"/>
        </w:rPr>
        <w:t xml:space="preserve">Ángel Estrada </w:t>
      </w:r>
      <w:r w:rsidRPr="00AD6B9E">
        <w:rPr>
          <w:rFonts w:ascii="Arial" w:hAnsi="Arial" w:cs="Arial"/>
          <w:sz w:val="24"/>
          <w:szCs w:val="24"/>
          <w:lang w:val="es-AR"/>
        </w:rPr>
        <w:t xml:space="preserve">(2005) (…) destaco que la Corte cita uno de los brillantes trabajos de JORGE TRISTÁN BOSCH, quien primero advirtiera algunas viejas confusiones argentinas. Su mención por el tribunal es toda una novedad y toda una definición de los nuevos aires que corren, rectificando otros errores del pasado y orientando el camino futuro. Su importancia es capital. Lo esencial que surge del fallo es: </w:t>
      </w:r>
      <w:r w:rsidRPr="00AD6B9E">
        <w:rPr>
          <w:rFonts w:ascii="Arial" w:hAnsi="Arial" w:cs="Arial"/>
          <w:i/>
          <w:iCs/>
          <w:sz w:val="24"/>
          <w:szCs w:val="24"/>
          <w:lang w:val="es-AR"/>
        </w:rPr>
        <w:t xml:space="preserve">La administración </w:t>
      </w:r>
      <w:r w:rsidRPr="00AD6B9E">
        <w:rPr>
          <w:rFonts w:ascii="Arial" w:hAnsi="Arial" w:cs="Arial"/>
          <w:b/>
          <w:bCs/>
          <w:sz w:val="24"/>
          <w:szCs w:val="24"/>
          <w:lang w:val="es-AR"/>
        </w:rPr>
        <w:t xml:space="preserve">activa </w:t>
      </w:r>
      <w:r w:rsidRPr="00AD6B9E">
        <w:rPr>
          <w:rFonts w:ascii="Arial" w:hAnsi="Arial" w:cs="Arial"/>
          <w:i/>
          <w:iCs/>
          <w:sz w:val="24"/>
          <w:szCs w:val="24"/>
          <w:lang w:val="es-AR"/>
        </w:rPr>
        <w:t>no puede, constitucionalmente, ejercer jurisdicción administrativa, ni siquiera sujeta a revisión judicial;</w:t>
      </w:r>
      <w:r w:rsidRPr="00AD6B9E">
        <w:rPr>
          <w:rFonts w:ascii="Arial" w:hAnsi="Arial" w:cs="Arial"/>
          <w:sz w:val="24"/>
          <w:szCs w:val="24"/>
          <w:lang w:val="es-AR"/>
        </w:rPr>
        <w:t xml:space="preserve">5 </w:t>
      </w:r>
      <w:r w:rsidRPr="00AD6B9E">
        <w:rPr>
          <w:rFonts w:ascii="Arial" w:hAnsi="Arial" w:cs="Arial"/>
          <w:i/>
          <w:iCs/>
          <w:sz w:val="24"/>
          <w:szCs w:val="24"/>
          <w:lang w:val="es-AR"/>
        </w:rPr>
        <w:t xml:space="preserve">pero sí se pueden establecer </w:t>
      </w:r>
      <w:r w:rsidRPr="00AD6B9E">
        <w:rPr>
          <w:rFonts w:ascii="Arial" w:hAnsi="Arial" w:cs="Arial"/>
          <w:b/>
          <w:bCs/>
          <w:sz w:val="24"/>
          <w:szCs w:val="24"/>
          <w:lang w:val="es-AR"/>
        </w:rPr>
        <w:t>tribunales administrativos, imparciales e independientes</w:t>
      </w:r>
      <w:r w:rsidRPr="00AD6B9E">
        <w:rPr>
          <w:rFonts w:ascii="Arial" w:hAnsi="Arial" w:cs="Arial"/>
          <w:i/>
          <w:iCs/>
          <w:sz w:val="24"/>
          <w:szCs w:val="24"/>
          <w:lang w:val="es-AR"/>
        </w:rPr>
        <w:t>, cuya función sea ejercer jurisdicción administrativa sujeta a revisión judicial plena</w:t>
      </w:r>
      <w:r w:rsidRPr="00AD6B9E">
        <w:rPr>
          <w:rFonts w:ascii="Arial" w:hAnsi="Arial" w:cs="Arial"/>
          <w:sz w:val="24"/>
          <w:szCs w:val="24"/>
          <w:lang w:val="es-AR"/>
        </w:rPr>
        <w:t xml:space="preserve"> (…)No se trata de reconocer jurisdicción a la administración </w:t>
      </w:r>
      <w:r w:rsidRPr="00AD6B9E">
        <w:rPr>
          <w:rFonts w:ascii="Arial" w:hAnsi="Arial" w:cs="Arial"/>
          <w:b/>
          <w:bCs/>
          <w:sz w:val="24"/>
          <w:szCs w:val="24"/>
          <w:lang w:val="es-AR"/>
        </w:rPr>
        <w:t>activa</w:t>
      </w:r>
      <w:r w:rsidRPr="00AD6B9E">
        <w:rPr>
          <w:rFonts w:ascii="Arial" w:hAnsi="Arial" w:cs="Arial"/>
          <w:sz w:val="24"/>
          <w:szCs w:val="24"/>
          <w:lang w:val="es-AR"/>
        </w:rPr>
        <w:t xml:space="preserve">, sino a </w:t>
      </w:r>
      <w:r w:rsidRPr="00AD6B9E">
        <w:rPr>
          <w:rFonts w:ascii="Arial" w:hAnsi="Arial" w:cs="Arial"/>
          <w:b/>
          <w:bCs/>
          <w:sz w:val="24"/>
          <w:szCs w:val="24"/>
          <w:lang w:val="es-AR"/>
        </w:rPr>
        <w:t>tribunales administrativos imparciales e independientes</w:t>
      </w:r>
      <w:r w:rsidRPr="00AD6B9E">
        <w:rPr>
          <w:rFonts w:ascii="Arial" w:hAnsi="Arial" w:cs="Arial"/>
          <w:sz w:val="24"/>
          <w:szCs w:val="24"/>
          <w:lang w:val="es-AR"/>
        </w:rPr>
        <w:t xml:space="preserve">, separados de la administración activa, en tanto tengan control judicial pleno. (…)Sin duda los entes reguladores deben ser imparciales e independientes, y hasta pueden parecer—como advirtió BIANCHI— un pequeño Estado, pero no pueden ser un Estado absolutista, sin división de poderes, frenos ni contrapesos. Sus órganos directivos no deben concentrar al mismo tiempo las tres funciones del Estado; se requieren tribunales administrativos que sean independientes e imparciales </w:t>
      </w:r>
      <w:r w:rsidRPr="00AD6B9E">
        <w:rPr>
          <w:rFonts w:ascii="Arial" w:hAnsi="Arial" w:cs="Arial"/>
          <w:b/>
          <w:bCs/>
          <w:sz w:val="24"/>
          <w:szCs w:val="24"/>
          <w:lang w:val="es-AR"/>
        </w:rPr>
        <w:t>también en relación a ellos</w:t>
      </w:r>
      <w:r w:rsidRPr="00AD6B9E">
        <w:rPr>
          <w:rFonts w:ascii="Arial" w:hAnsi="Arial" w:cs="Arial"/>
          <w:sz w:val="24"/>
          <w:szCs w:val="24"/>
          <w:lang w:val="es-AR"/>
        </w:rPr>
        <w:t>. Los organismos internacionales podrían ser, en tamaño grande, una buena imagen en la cual inspirarse al efecto. (…)"</w:t>
      </w:r>
      <w:r w:rsidRPr="00AD6B9E">
        <w:rPr>
          <w:rFonts w:ascii="Arial" w:hAnsi="Arial" w:cs="Arial"/>
          <w:sz w:val="24"/>
          <w:szCs w:val="24"/>
          <w:vertAlign w:val="superscript"/>
          <w:lang w:val="es-AR"/>
        </w:rPr>
        <w:footnoteReference w:id="30"/>
      </w:r>
      <w:r w:rsidRPr="00AD6B9E">
        <w:rPr>
          <w:rFonts w:ascii="Arial" w:hAnsi="Arial" w:cs="Arial"/>
          <w:sz w:val="24"/>
          <w:szCs w:val="24"/>
          <w:lang w:val="es-AR"/>
        </w:rPr>
        <w:t xml:space="preserve"> -lo puesto de resalto le </w:t>
      </w:r>
      <w:proofErr w:type="spellStart"/>
      <w:r w:rsidRPr="00AD6B9E">
        <w:rPr>
          <w:rFonts w:ascii="Arial" w:hAnsi="Arial" w:cs="Arial"/>
          <w:sz w:val="24"/>
          <w:szCs w:val="24"/>
          <w:lang w:val="es-AR"/>
        </w:rPr>
        <w:t>pertence</w:t>
      </w:r>
      <w:proofErr w:type="spellEnd"/>
      <w:r w:rsidRPr="00AD6B9E">
        <w:rPr>
          <w:rFonts w:ascii="Arial" w:hAnsi="Arial" w:cs="Arial"/>
          <w:sz w:val="24"/>
          <w:szCs w:val="24"/>
          <w:lang w:val="es-AR"/>
        </w:rPr>
        <w:t>-</w:t>
      </w:r>
    </w:p>
    <w:p w:rsidR="00601100" w:rsidRDefault="00601100" w:rsidP="00601100">
      <w:pPr>
        <w:ind w:firstLine="1134"/>
        <w:jc w:val="both"/>
        <w:rPr>
          <w:rFonts w:ascii="Arial" w:hAnsi="Arial" w:cs="Arial"/>
          <w:iCs/>
          <w:sz w:val="24"/>
          <w:szCs w:val="24"/>
          <w:lang w:val="es-AR"/>
        </w:rPr>
      </w:pPr>
      <w:r>
        <w:rPr>
          <w:rFonts w:ascii="Arial" w:hAnsi="Arial" w:cs="Arial"/>
          <w:iCs/>
          <w:sz w:val="24"/>
          <w:szCs w:val="24"/>
          <w:lang w:val="es-AR"/>
        </w:rPr>
        <w:t xml:space="preserve">Es por lo aquí manifestado que disiento con los argumentos desarrollados en el caso </w:t>
      </w:r>
      <w:r w:rsidRPr="0016669A">
        <w:rPr>
          <w:rFonts w:ascii="Arial" w:hAnsi="Arial" w:cs="Arial"/>
          <w:iCs/>
          <w:sz w:val="24"/>
          <w:szCs w:val="24"/>
          <w:lang w:val="es-AR"/>
        </w:rPr>
        <w:t>“</w:t>
      </w:r>
      <w:proofErr w:type="spellStart"/>
      <w:r w:rsidRPr="0016669A">
        <w:rPr>
          <w:rFonts w:ascii="Arial" w:hAnsi="Arial" w:cs="Arial"/>
          <w:iCs/>
          <w:sz w:val="24"/>
          <w:szCs w:val="24"/>
          <w:lang w:val="es-AR"/>
        </w:rPr>
        <w:t>Burghi</w:t>
      </w:r>
      <w:proofErr w:type="spellEnd"/>
      <w:r w:rsidRPr="0016669A">
        <w:rPr>
          <w:rFonts w:ascii="Arial" w:hAnsi="Arial" w:cs="Arial"/>
          <w:iCs/>
          <w:sz w:val="24"/>
          <w:szCs w:val="24"/>
          <w:lang w:val="es-AR"/>
        </w:rPr>
        <w:t>”</w:t>
      </w:r>
      <w:r>
        <w:rPr>
          <w:rFonts w:ascii="Arial" w:hAnsi="Arial" w:cs="Arial"/>
          <w:iCs/>
          <w:sz w:val="24"/>
          <w:szCs w:val="24"/>
          <w:lang w:val="es-AR"/>
        </w:rPr>
        <w:t xml:space="preserve">, y no los comparto en la resolución del presente caso.   </w:t>
      </w:r>
    </w:p>
    <w:p w:rsidR="00601100" w:rsidRDefault="00601100" w:rsidP="00601100">
      <w:pPr>
        <w:ind w:firstLine="1134"/>
        <w:jc w:val="both"/>
        <w:rPr>
          <w:rFonts w:ascii="Arial" w:hAnsi="Arial" w:cs="Arial"/>
          <w:i/>
          <w:iCs/>
          <w:sz w:val="24"/>
          <w:szCs w:val="24"/>
          <w:lang w:val="es-AR"/>
        </w:rPr>
      </w:pPr>
    </w:p>
    <w:p w:rsidR="00601100" w:rsidRDefault="00601100" w:rsidP="00601100">
      <w:pPr>
        <w:ind w:firstLine="1134"/>
        <w:jc w:val="both"/>
        <w:rPr>
          <w:rFonts w:ascii="Arial" w:hAnsi="Arial" w:cs="Arial"/>
          <w:iCs/>
          <w:sz w:val="24"/>
          <w:szCs w:val="24"/>
          <w:lang w:val="es-AR"/>
        </w:rPr>
      </w:pPr>
      <w:r>
        <w:rPr>
          <w:rFonts w:ascii="Arial" w:hAnsi="Arial" w:cs="Arial"/>
          <w:iCs/>
          <w:sz w:val="24"/>
          <w:szCs w:val="24"/>
          <w:lang w:val="es-AR"/>
        </w:rPr>
        <w:t>De tal suerte, mientras el juez ordinario en su liminar compromiso con la Constitución Nacional la que ha jurado defender, debe mirar y guiar el proceso</w:t>
      </w:r>
      <w:r w:rsidRPr="001621CF">
        <w:rPr>
          <w:rFonts w:ascii="Arial" w:hAnsi="Arial" w:cs="Arial"/>
          <w:iCs/>
          <w:sz w:val="24"/>
          <w:szCs w:val="24"/>
          <w:lang w:val="es-AR"/>
        </w:rPr>
        <w:t xml:space="preserve"> imbuido de los principios de la especialidad,</w:t>
      </w:r>
      <w:r>
        <w:rPr>
          <w:rFonts w:ascii="Arial" w:hAnsi="Arial" w:cs="Arial"/>
          <w:iCs/>
          <w:sz w:val="24"/>
          <w:szCs w:val="24"/>
          <w:lang w:val="es-AR"/>
        </w:rPr>
        <w:t xml:space="preserve"> por imperio de la nueva ley, serán todos ellos sacrificados en manos de una Comisión Médica, cuya especialidad no tiene porqué ser provista por fuera de un proceso regular en la justicia, como lo prevé la CN. </w:t>
      </w:r>
    </w:p>
    <w:p w:rsidR="00601100" w:rsidRPr="001621CF" w:rsidRDefault="00601100" w:rsidP="00601100">
      <w:pPr>
        <w:ind w:firstLine="1134"/>
        <w:jc w:val="both"/>
        <w:rPr>
          <w:rFonts w:ascii="Arial" w:hAnsi="Arial" w:cs="Arial"/>
          <w:iCs/>
          <w:sz w:val="24"/>
          <w:szCs w:val="24"/>
          <w:lang w:val="es-MX"/>
        </w:rPr>
      </w:pPr>
    </w:p>
    <w:p w:rsidR="00601100" w:rsidRPr="00D62E3C" w:rsidRDefault="00601100" w:rsidP="00601100">
      <w:pPr>
        <w:ind w:firstLine="1134"/>
        <w:jc w:val="both"/>
        <w:rPr>
          <w:rFonts w:ascii="Arial" w:hAnsi="Arial" w:cs="Arial"/>
          <w:iCs/>
          <w:sz w:val="24"/>
          <w:szCs w:val="24"/>
          <w:lang w:val="es-MX"/>
        </w:rPr>
      </w:pPr>
      <w:r>
        <w:rPr>
          <w:rFonts w:ascii="Arial" w:hAnsi="Arial" w:cs="Arial"/>
          <w:iCs/>
          <w:sz w:val="24"/>
          <w:szCs w:val="24"/>
          <w:lang w:val="es-MX"/>
        </w:rPr>
        <w:t xml:space="preserve"> M</w:t>
      </w:r>
      <w:r w:rsidRPr="001621CF">
        <w:rPr>
          <w:rFonts w:ascii="Arial" w:hAnsi="Arial" w:cs="Arial"/>
          <w:iCs/>
          <w:sz w:val="24"/>
          <w:szCs w:val="24"/>
          <w:lang w:val="es-MX"/>
        </w:rPr>
        <w:t>edia con esta nueva ley un desplazamiento del derecho de fondo constitucional (juez natural art. 18 CN</w:t>
      </w:r>
      <w:r>
        <w:rPr>
          <w:rFonts w:ascii="Arial" w:hAnsi="Arial" w:cs="Arial"/>
          <w:iCs/>
          <w:sz w:val="24"/>
          <w:szCs w:val="24"/>
          <w:lang w:val="es-MX"/>
        </w:rPr>
        <w:t xml:space="preserve"> y artículo 8 de la Convención Americana de Derechos Humanos</w:t>
      </w:r>
      <w:r w:rsidRPr="001621CF">
        <w:rPr>
          <w:rFonts w:ascii="Arial" w:hAnsi="Arial" w:cs="Arial"/>
          <w:iCs/>
          <w:sz w:val="24"/>
          <w:szCs w:val="24"/>
          <w:lang w:val="es-MX"/>
        </w:rPr>
        <w:t>), por una norma de forma, de niveles inferiores, es decir la ley 27.348.</w:t>
      </w:r>
    </w:p>
    <w:p w:rsidR="00601100" w:rsidRPr="003A7318" w:rsidRDefault="00601100" w:rsidP="00601100">
      <w:pPr>
        <w:ind w:firstLine="1134"/>
        <w:jc w:val="both"/>
        <w:rPr>
          <w:rFonts w:ascii="Arial" w:hAnsi="Arial" w:cs="Arial"/>
          <w:color w:val="E36C0A" w:themeColor="accent6" w:themeShade="BF"/>
          <w:sz w:val="24"/>
          <w:szCs w:val="24"/>
          <w:lang w:val="es-MX"/>
        </w:rPr>
      </w:pPr>
    </w:p>
    <w:p w:rsidR="00601100" w:rsidRPr="00600760" w:rsidRDefault="00601100" w:rsidP="00601100">
      <w:pPr>
        <w:ind w:firstLine="1134"/>
        <w:jc w:val="both"/>
        <w:rPr>
          <w:rFonts w:ascii="Arial" w:hAnsi="Arial" w:cs="Arial"/>
          <w:sz w:val="24"/>
          <w:szCs w:val="24"/>
          <w:lang w:val="es-MX"/>
        </w:rPr>
      </w:pPr>
      <w:r w:rsidRPr="00600760">
        <w:rPr>
          <w:rFonts w:ascii="Arial" w:hAnsi="Arial" w:cs="Arial"/>
          <w:b/>
          <w:sz w:val="24"/>
          <w:szCs w:val="24"/>
          <w:lang w:val="es-MX"/>
        </w:rPr>
        <w:t>VIII.</w:t>
      </w:r>
      <w:r>
        <w:rPr>
          <w:rFonts w:ascii="Arial" w:hAnsi="Arial" w:cs="Arial"/>
          <w:sz w:val="24"/>
          <w:szCs w:val="24"/>
          <w:lang w:val="es-MX"/>
        </w:rPr>
        <w:t xml:space="preserve"> </w:t>
      </w:r>
      <w:r w:rsidRPr="00600760">
        <w:rPr>
          <w:rFonts w:ascii="Arial" w:hAnsi="Arial" w:cs="Arial"/>
          <w:sz w:val="24"/>
          <w:szCs w:val="24"/>
          <w:lang w:val="es-MX"/>
        </w:rPr>
        <w:t xml:space="preserve">En este estado de cosas estamos en condiciones de extrapolar el tema en relación </w:t>
      </w:r>
      <w:r>
        <w:rPr>
          <w:rFonts w:ascii="Arial" w:hAnsi="Arial" w:cs="Arial"/>
          <w:sz w:val="24"/>
          <w:szCs w:val="24"/>
          <w:lang w:val="es-MX"/>
        </w:rPr>
        <w:t>con</w:t>
      </w:r>
      <w:r w:rsidRPr="00600760">
        <w:rPr>
          <w:rFonts w:ascii="Arial" w:hAnsi="Arial" w:cs="Arial"/>
          <w:sz w:val="24"/>
          <w:szCs w:val="24"/>
          <w:lang w:val="es-MX"/>
        </w:rPr>
        <w:t xml:space="preserve"> la Ley 2734</w:t>
      </w:r>
      <w:r>
        <w:rPr>
          <w:rFonts w:ascii="Arial" w:hAnsi="Arial" w:cs="Arial"/>
          <w:sz w:val="24"/>
          <w:szCs w:val="24"/>
          <w:lang w:val="es-MX"/>
        </w:rPr>
        <w:t>8, y e</w:t>
      </w:r>
      <w:r w:rsidRPr="00600760">
        <w:rPr>
          <w:rFonts w:ascii="Arial" w:hAnsi="Arial" w:cs="Arial"/>
          <w:sz w:val="24"/>
          <w:szCs w:val="24"/>
          <w:lang w:val="es-MX"/>
        </w:rPr>
        <w:t>l análisis de la pretendida instauración del procedimiento administrativo “obligatorio” ante las Comisiones Médicas.</w:t>
      </w:r>
    </w:p>
    <w:p w:rsidR="00601100" w:rsidRDefault="00601100" w:rsidP="00601100">
      <w:pPr>
        <w:ind w:firstLine="1134"/>
        <w:jc w:val="both"/>
        <w:rPr>
          <w:rFonts w:ascii="Arial" w:hAnsi="Arial" w:cs="Arial"/>
          <w:iCs/>
          <w:sz w:val="24"/>
          <w:szCs w:val="24"/>
        </w:rPr>
      </w:pPr>
    </w:p>
    <w:p w:rsidR="00601100" w:rsidRPr="0078234D" w:rsidRDefault="00601100" w:rsidP="00601100">
      <w:pPr>
        <w:ind w:firstLine="1134"/>
        <w:jc w:val="both"/>
        <w:rPr>
          <w:rFonts w:ascii="Arial" w:hAnsi="Arial" w:cs="Arial"/>
          <w:iCs/>
          <w:sz w:val="24"/>
          <w:szCs w:val="24"/>
        </w:rPr>
      </w:pPr>
      <w:r w:rsidRPr="0078234D">
        <w:rPr>
          <w:rFonts w:ascii="Arial" w:hAnsi="Arial" w:cs="Arial"/>
          <w:iCs/>
          <w:sz w:val="24"/>
          <w:szCs w:val="24"/>
        </w:rPr>
        <w:t>Así, el art. 1 de la ley 27.348 dispone que “</w:t>
      </w:r>
      <w:r w:rsidRPr="0078234D">
        <w:rPr>
          <w:rFonts w:ascii="Arial" w:hAnsi="Arial" w:cs="Arial"/>
          <w:i/>
          <w:iCs/>
          <w:sz w:val="24"/>
          <w:szCs w:val="24"/>
        </w:rPr>
        <w:t xml:space="preserve">la actuación de las comisiones médicas jurisdiccionales…, constituirá la instancia administrativa previa, </w:t>
      </w:r>
      <w:r w:rsidRPr="00C32F30">
        <w:rPr>
          <w:rFonts w:ascii="Arial" w:hAnsi="Arial" w:cs="Arial"/>
          <w:b/>
          <w:i/>
          <w:iCs/>
          <w:sz w:val="24"/>
          <w:szCs w:val="24"/>
        </w:rPr>
        <w:t>de carácter obligatorio y excluyente de toda otra intervención</w:t>
      </w:r>
      <w:r w:rsidRPr="0078234D">
        <w:rPr>
          <w:rFonts w:ascii="Arial" w:hAnsi="Arial" w:cs="Arial"/>
          <w:i/>
          <w:iCs/>
          <w:sz w:val="24"/>
          <w:szCs w:val="24"/>
        </w:rPr>
        <w:t>, para que el trabajador afectado, contando con el debido patrocinio letrado, solicite la determinación del carácter profesional de su enfermedad o contingencia, la determinación de su incapacidad y las correspondientes prestaciones dinerarias previstas en la Ley de Riesgos del Trabajo</w:t>
      </w:r>
      <w:r w:rsidRPr="0078234D">
        <w:rPr>
          <w:rFonts w:ascii="Arial" w:hAnsi="Arial" w:cs="Arial"/>
          <w:iCs/>
          <w:sz w:val="24"/>
          <w:szCs w:val="24"/>
        </w:rPr>
        <w:t>”.</w:t>
      </w:r>
      <w:r w:rsidR="00C32F30">
        <w:rPr>
          <w:rFonts w:ascii="Arial" w:hAnsi="Arial" w:cs="Arial"/>
          <w:iCs/>
          <w:sz w:val="24"/>
          <w:szCs w:val="24"/>
        </w:rPr>
        <w:t xml:space="preserve"> (Lo puesto de resalto me pertenece)</w:t>
      </w:r>
    </w:p>
    <w:p w:rsidR="00601100" w:rsidRPr="0078234D" w:rsidRDefault="00601100" w:rsidP="00601100">
      <w:pPr>
        <w:ind w:firstLine="1134"/>
        <w:jc w:val="both"/>
        <w:rPr>
          <w:rFonts w:ascii="Arial" w:hAnsi="Arial" w:cs="Arial"/>
          <w:sz w:val="24"/>
          <w:szCs w:val="24"/>
        </w:rPr>
      </w:pPr>
    </w:p>
    <w:p w:rsidR="00601100" w:rsidRPr="00FB0785" w:rsidRDefault="00601100" w:rsidP="00601100">
      <w:pPr>
        <w:ind w:firstLine="1134"/>
        <w:jc w:val="both"/>
        <w:rPr>
          <w:rFonts w:ascii="Arial" w:hAnsi="Arial" w:cs="Arial"/>
          <w:sz w:val="24"/>
          <w:szCs w:val="24"/>
          <w:lang w:val="es-AR"/>
        </w:rPr>
      </w:pPr>
      <w:r w:rsidRPr="00FB0785">
        <w:rPr>
          <w:rFonts w:ascii="Arial" w:hAnsi="Arial" w:cs="Arial"/>
          <w:i/>
          <w:sz w:val="24"/>
          <w:szCs w:val="24"/>
          <w:lang w:val="es-AR"/>
        </w:rPr>
        <w:t>Prima facie</w:t>
      </w:r>
      <w:r w:rsidRPr="00600760">
        <w:rPr>
          <w:rFonts w:ascii="Arial" w:hAnsi="Arial" w:cs="Arial"/>
          <w:sz w:val="24"/>
          <w:szCs w:val="24"/>
          <w:lang w:val="es-AR"/>
        </w:rPr>
        <w:t>,</w:t>
      </w:r>
      <w:r>
        <w:rPr>
          <w:rFonts w:ascii="Arial" w:hAnsi="Arial" w:cs="Arial"/>
          <w:sz w:val="24"/>
          <w:szCs w:val="24"/>
          <w:lang w:val="es-AR"/>
        </w:rPr>
        <w:t xml:space="preserve"> y en atención a lo ya manifestado, estaría en condiciones</w:t>
      </w:r>
      <w:r w:rsidRPr="00600760">
        <w:rPr>
          <w:rFonts w:ascii="Arial" w:hAnsi="Arial" w:cs="Arial"/>
          <w:sz w:val="24"/>
          <w:szCs w:val="24"/>
          <w:lang w:val="es-AR"/>
        </w:rPr>
        <w:t xml:space="preserve"> </w:t>
      </w:r>
      <w:r>
        <w:rPr>
          <w:rFonts w:ascii="Arial" w:hAnsi="Arial" w:cs="Arial"/>
          <w:sz w:val="24"/>
          <w:szCs w:val="24"/>
          <w:lang w:val="es-AR"/>
        </w:rPr>
        <w:t xml:space="preserve">de advertir que el procedimiento administrativo obligatorio ante las Comisiones Médicas es un intento de </w:t>
      </w:r>
      <w:r>
        <w:rPr>
          <w:rFonts w:ascii="Arial" w:hAnsi="Arial" w:cs="Arial"/>
          <w:sz w:val="24"/>
          <w:szCs w:val="24"/>
          <w:lang w:val="es-MX"/>
        </w:rPr>
        <w:t>tornar e</w:t>
      </w:r>
      <w:r w:rsidRPr="00C14A11">
        <w:rPr>
          <w:rFonts w:ascii="Arial" w:hAnsi="Arial" w:cs="Arial"/>
          <w:sz w:val="24"/>
          <w:szCs w:val="24"/>
          <w:lang w:val="es-MX"/>
        </w:rPr>
        <w:t xml:space="preserve">l sistema </w:t>
      </w:r>
      <w:proofErr w:type="spellStart"/>
      <w:r w:rsidRPr="00C14A11">
        <w:rPr>
          <w:rFonts w:ascii="Arial" w:hAnsi="Arial" w:cs="Arial"/>
          <w:sz w:val="24"/>
          <w:szCs w:val="24"/>
          <w:lang w:val="es-MX"/>
        </w:rPr>
        <w:t>judicialista</w:t>
      </w:r>
      <w:proofErr w:type="spellEnd"/>
      <w:r w:rsidRPr="00C14A11">
        <w:rPr>
          <w:rFonts w:ascii="Arial" w:hAnsi="Arial" w:cs="Arial"/>
          <w:sz w:val="24"/>
          <w:szCs w:val="24"/>
          <w:lang w:val="es-MX"/>
        </w:rPr>
        <w:t xml:space="preserve"> en </w:t>
      </w:r>
      <w:r>
        <w:rPr>
          <w:rFonts w:ascii="Arial" w:hAnsi="Arial" w:cs="Arial"/>
          <w:sz w:val="24"/>
          <w:szCs w:val="24"/>
          <w:lang w:val="es-MX"/>
        </w:rPr>
        <w:t xml:space="preserve">uno de </w:t>
      </w:r>
      <w:r w:rsidRPr="00C14A11">
        <w:rPr>
          <w:rFonts w:ascii="Arial" w:hAnsi="Arial" w:cs="Arial"/>
          <w:sz w:val="24"/>
          <w:szCs w:val="24"/>
          <w:lang w:val="es-MX"/>
        </w:rPr>
        <w:t>agencias,</w:t>
      </w:r>
      <w:r>
        <w:rPr>
          <w:rFonts w:ascii="Arial" w:hAnsi="Arial" w:cs="Arial"/>
          <w:sz w:val="24"/>
          <w:szCs w:val="24"/>
          <w:lang w:val="es-MX"/>
        </w:rPr>
        <w:t xml:space="preserve">  </w:t>
      </w:r>
      <w:r w:rsidRPr="00FB0785">
        <w:rPr>
          <w:rFonts w:ascii="Arial" w:hAnsi="Arial" w:cs="Arial"/>
          <w:sz w:val="24"/>
          <w:szCs w:val="24"/>
          <w:lang w:val="es-MX"/>
        </w:rPr>
        <w:t>vulnerando el principio de división de poderes</w:t>
      </w:r>
      <w:r>
        <w:rPr>
          <w:rFonts w:ascii="Arial" w:hAnsi="Arial" w:cs="Arial"/>
          <w:sz w:val="24"/>
          <w:szCs w:val="24"/>
          <w:lang w:val="es-MX"/>
        </w:rPr>
        <w:t xml:space="preserve"> y, solo se estaría</w:t>
      </w:r>
      <w:r w:rsidRPr="00C14A11">
        <w:rPr>
          <w:rFonts w:ascii="Arial" w:hAnsi="Arial" w:cs="Arial"/>
          <w:sz w:val="24"/>
          <w:szCs w:val="24"/>
          <w:lang w:val="es-MX"/>
        </w:rPr>
        <w:t xml:space="preserve"> protegiendo a la parte más </w:t>
      </w:r>
      <w:r>
        <w:rPr>
          <w:rFonts w:ascii="Arial" w:hAnsi="Arial" w:cs="Arial"/>
          <w:sz w:val="24"/>
          <w:szCs w:val="24"/>
          <w:lang w:val="es-MX"/>
        </w:rPr>
        <w:t>fuerte del vínculo entre privados, evadiendo la jerarquía sostenida por el Paradigma Normativo de los Derechos Humanos Fundamentales</w:t>
      </w:r>
      <w:r w:rsidRPr="00C14A11">
        <w:rPr>
          <w:rFonts w:ascii="Arial" w:hAnsi="Arial" w:cs="Arial"/>
          <w:sz w:val="24"/>
          <w:szCs w:val="24"/>
          <w:lang w:val="es-MX"/>
        </w:rPr>
        <w:t>.</w:t>
      </w:r>
      <w:r>
        <w:rPr>
          <w:rFonts w:ascii="Arial" w:hAnsi="Arial" w:cs="Arial"/>
          <w:sz w:val="24"/>
          <w:szCs w:val="24"/>
          <w:lang w:val="es-MX"/>
        </w:rPr>
        <w:t xml:space="preserve"> (Ver título preliminar del CCCN, en particular artículo 11)</w:t>
      </w:r>
      <w:r>
        <w:rPr>
          <w:rStyle w:val="Refdenotaalpie"/>
          <w:rFonts w:ascii="Arial" w:hAnsi="Arial" w:cs="Arial"/>
          <w:sz w:val="24"/>
          <w:szCs w:val="24"/>
          <w:lang w:val="es-MX"/>
        </w:rPr>
        <w:footnoteReference w:id="31"/>
      </w:r>
    </w:p>
    <w:p w:rsidR="00601100" w:rsidRPr="00C14A11" w:rsidRDefault="00601100" w:rsidP="00601100">
      <w:pPr>
        <w:ind w:firstLine="1134"/>
        <w:jc w:val="both"/>
        <w:rPr>
          <w:rFonts w:ascii="Arial" w:hAnsi="Arial" w:cs="Arial"/>
          <w:sz w:val="24"/>
          <w:szCs w:val="24"/>
          <w:lang w:val="es-MX"/>
        </w:rPr>
      </w:pPr>
    </w:p>
    <w:p w:rsidR="00601100" w:rsidRPr="00F17C7C" w:rsidRDefault="00601100" w:rsidP="00601100">
      <w:pPr>
        <w:ind w:firstLine="1134"/>
        <w:jc w:val="both"/>
        <w:rPr>
          <w:rFonts w:ascii="Arial" w:hAnsi="Arial" w:cs="Arial"/>
          <w:sz w:val="24"/>
          <w:szCs w:val="24"/>
          <w:lang w:val="es-MX"/>
        </w:rPr>
      </w:pPr>
      <w:r>
        <w:rPr>
          <w:rFonts w:ascii="Arial" w:hAnsi="Arial" w:cs="Arial"/>
          <w:sz w:val="24"/>
          <w:szCs w:val="24"/>
          <w:lang w:val="es-MX"/>
        </w:rPr>
        <w:t xml:space="preserve">Efectivamente, reflexiono a partir de las reseñas del jurista </w:t>
      </w:r>
      <w:proofErr w:type="spellStart"/>
      <w:r>
        <w:rPr>
          <w:rFonts w:ascii="Arial" w:hAnsi="Arial" w:cs="Arial"/>
          <w:sz w:val="24"/>
          <w:szCs w:val="24"/>
          <w:lang w:val="es-MX"/>
        </w:rPr>
        <w:t>Luqui</w:t>
      </w:r>
      <w:proofErr w:type="spellEnd"/>
      <w:r>
        <w:rPr>
          <w:rFonts w:ascii="Arial" w:hAnsi="Arial" w:cs="Arial"/>
          <w:sz w:val="24"/>
          <w:szCs w:val="24"/>
          <w:lang w:val="es-MX"/>
        </w:rPr>
        <w:t>, que el Poder E</w:t>
      </w:r>
      <w:r w:rsidRPr="0091307B">
        <w:rPr>
          <w:rFonts w:ascii="Arial" w:hAnsi="Arial" w:cs="Arial"/>
          <w:sz w:val="24"/>
          <w:szCs w:val="24"/>
          <w:lang w:val="es-MX"/>
        </w:rPr>
        <w:t xml:space="preserve">jecutivo y </w:t>
      </w:r>
      <w:r>
        <w:rPr>
          <w:rFonts w:ascii="Arial" w:hAnsi="Arial" w:cs="Arial"/>
          <w:sz w:val="24"/>
          <w:szCs w:val="24"/>
          <w:lang w:val="es-MX"/>
        </w:rPr>
        <w:t>el Poder J</w:t>
      </w:r>
      <w:r w:rsidRPr="0091307B">
        <w:rPr>
          <w:rFonts w:ascii="Arial" w:hAnsi="Arial" w:cs="Arial"/>
          <w:sz w:val="24"/>
          <w:szCs w:val="24"/>
          <w:lang w:val="es-MX"/>
        </w:rPr>
        <w:t>udicial</w:t>
      </w:r>
      <w:r>
        <w:rPr>
          <w:rFonts w:ascii="Arial" w:hAnsi="Arial" w:cs="Arial"/>
          <w:sz w:val="24"/>
          <w:szCs w:val="24"/>
          <w:lang w:val="es-MX"/>
        </w:rPr>
        <w:t>,</w:t>
      </w:r>
      <w:r w:rsidRPr="0091307B">
        <w:rPr>
          <w:rFonts w:ascii="Arial" w:hAnsi="Arial" w:cs="Arial"/>
          <w:sz w:val="24"/>
          <w:szCs w:val="24"/>
          <w:lang w:val="es-MX"/>
        </w:rPr>
        <w:t xml:space="preserve"> en la distribución de pod</w:t>
      </w:r>
      <w:r>
        <w:rPr>
          <w:rFonts w:ascii="Arial" w:hAnsi="Arial" w:cs="Arial"/>
          <w:sz w:val="24"/>
          <w:szCs w:val="24"/>
          <w:lang w:val="es-MX"/>
        </w:rPr>
        <w:t>eres</w:t>
      </w:r>
      <w:r w:rsidRPr="0091307B">
        <w:rPr>
          <w:rFonts w:ascii="Arial" w:hAnsi="Arial" w:cs="Arial"/>
          <w:sz w:val="24"/>
          <w:szCs w:val="24"/>
          <w:lang w:val="es-MX"/>
        </w:rPr>
        <w:t xml:space="preserve"> so</w:t>
      </w:r>
      <w:r>
        <w:rPr>
          <w:rFonts w:ascii="Arial" w:hAnsi="Arial" w:cs="Arial"/>
          <w:sz w:val="24"/>
          <w:szCs w:val="24"/>
          <w:lang w:val="es-MX"/>
        </w:rPr>
        <w:t>n</w:t>
      </w:r>
      <w:r w:rsidRPr="0091307B">
        <w:rPr>
          <w:rFonts w:ascii="Arial" w:hAnsi="Arial" w:cs="Arial"/>
          <w:sz w:val="24"/>
          <w:szCs w:val="24"/>
          <w:lang w:val="es-MX"/>
        </w:rPr>
        <w:t xml:space="preserve"> pares, </w:t>
      </w:r>
      <w:r>
        <w:rPr>
          <w:rFonts w:ascii="Arial" w:hAnsi="Arial" w:cs="Arial"/>
          <w:sz w:val="24"/>
          <w:szCs w:val="24"/>
          <w:lang w:val="es-MX"/>
        </w:rPr>
        <w:t>mientras que</w:t>
      </w:r>
      <w:r w:rsidRPr="0091307B">
        <w:rPr>
          <w:rFonts w:ascii="Arial" w:hAnsi="Arial" w:cs="Arial"/>
          <w:sz w:val="24"/>
          <w:szCs w:val="24"/>
          <w:lang w:val="es-MX"/>
        </w:rPr>
        <w:t xml:space="preserve"> </w:t>
      </w:r>
      <w:r>
        <w:rPr>
          <w:rFonts w:ascii="Arial" w:hAnsi="Arial" w:cs="Arial"/>
          <w:sz w:val="24"/>
          <w:szCs w:val="24"/>
          <w:lang w:val="es-MX"/>
        </w:rPr>
        <w:t>las CCMM</w:t>
      </w:r>
      <w:r w:rsidRPr="0091307B">
        <w:rPr>
          <w:rFonts w:ascii="Arial" w:hAnsi="Arial" w:cs="Arial"/>
          <w:sz w:val="24"/>
          <w:szCs w:val="24"/>
          <w:lang w:val="es-MX"/>
        </w:rPr>
        <w:t xml:space="preserve"> a su vez</w:t>
      </w:r>
      <w:r>
        <w:rPr>
          <w:rFonts w:ascii="Arial" w:hAnsi="Arial" w:cs="Arial"/>
          <w:sz w:val="24"/>
          <w:szCs w:val="24"/>
          <w:lang w:val="es-MX"/>
        </w:rPr>
        <w:t>,</w:t>
      </w:r>
      <w:r w:rsidRPr="0091307B">
        <w:rPr>
          <w:rFonts w:ascii="Arial" w:hAnsi="Arial" w:cs="Arial"/>
          <w:sz w:val="24"/>
          <w:szCs w:val="24"/>
          <w:lang w:val="es-MX"/>
        </w:rPr>
        <w:t xml:space="preserve"> </w:t>
      </w:r>
      <w:r w:rsidRPr="00F71451">
        <w:rPr>
          <w:rFonts w:ascii="Arial" w:hAnsi="Arial" w:cs="Arial"/>
          <w:b/>
          <w:sz w:val="24"/>
          <w:szCs w:val="24"/>
          <w:lang w:val="es-MX"/>
        </w:rPr>
        <w:t>son órgano</w:t>
      </w:r>
      <w:r>
        <w:rPr>
          <w:rFonts w:ascii="Arial" w:hAnsi="Arial" w:cs="Arial"/>
          <w:b/>
          <w:sz w:val="24"/>
          <w:szCs w:val="24"/>
          <w:lang w:val="es-MX"/>
        </w:rPr>
        <w:t>s inferiores al Poder E</w:t>
      </w:r>
      <w:r w:rsidRPr="00F71451">
        <w:rPr>
          <w:rFonts w:ascii="Arial" w:hAnsi="Arial" w:cs="Arial"/>
          <w:b/>
          <w:sz w:val="24"/>
          <w:szCs w:val="24"/>
          <w:lang w:val="es-MX"/>
        </w:rPr>
        <w:t>jecutivo</w:t>
      </w:r>
      <w:r>
        <w:rPr>
          <w:rFonts w:ascii="Arial" w:hAnsi="Arial" w:cs="Arial"/>
          <w:sz w:val="24"/>
          <w:szCs w:val="24"/>
          <w:lang w:val="es-MX"/>
        </w:rPr>
        <w:t>. S</w:t>
      </w:r>
      <w:r w:rsidRPr="0091307B">
        <w:rPr>
          <w:rFonts w:ascii="Arial" w:hAnsi="Arial" w:cs="Arial"/>
          <w:sz w:val="24"/>
          <w:szCs w:val="24"/>
          <w:lang w:val="es-MX"/>
        </w:rPr>
        <w:t>in embargo</w:t>
      </w:r>
      <w:r>
        <w:rPr>
          <w:rFonts w:ascii="Arial" w:hAnsi="Arial" w:cs="Arial"/>
          <w:sz w:val="24"/>
          <w:szCs w:val="24"/>
          <w:lang w:val="es-MX"/>
        </w:rPr>
        <w:t>, el modelo diseñado las pone a la par del Poder Judicial, intentando “</w:t>
      </w:r>
      <w:proofErr w:type="spellStart"/>
      <w:r>
        <w:rPr>
          <w:rFonts w:ascii="Arial" w:hAnsi="Arial" w:cs="Arial"/>
          <w:sz w:val="24"/>
          <w:szCs w:val="24"/>
          <w:lang w:val="es-MX"/>
        </w:rPr>
        <w:t>juridizar</w:t>
      </w:r>
      <w:proofErr w:type="spellEnd"/>
      <w:r>
        <w:rPr>
          <w:rFonts w:ascii="Arial" w:hAnsi="Arial" w:cs="Arial"/>
          <w:sz w:val="24"/>
          <w:szCs w:val="24"/>
          <w:lang w:val="es-MX"/>
        </w:rPr>
        <w:t xml:space="preserve">” el procedimiento. </w:t>
      </w:r>
    </w:p>
    <w:p w:rsidR="00601100" w:rsidRDefault="00601100" w:rsidP="00601100">
      <w:pPr>
        <w:ind w:firstLine="1134"/>
        <w:jc w:val="both"/>
        <w:rPr>
          <w:rFonts w:ascii="Arial" w:hAnsi="Arial" w:cs="Arial"/>
          <w:sz w:val="24"/>
          <w:szCs w:val="24"/>
          <w:lang w:val="es-MX"/>
        </w:rPr>
      </w:pPr>
    </w:p>
    <w:p w:rsidR="00601100" w:rsidRDefault="00601100" w:rsidP="00601100">
      <w:pPr>
        <w:ind w:firstLine="1134"/>
        <w:jc w:val="both"/>
        <w:rPr>
          <w:rFonts w:ascii="Arial" w:hAnsi="Arial" w:cs="Arial"/>
          <w:iCs/>
          <w:sz w:val="24"/>
          <w:szCs w:val="24"/>
          <w:lang w:val="es-AR"/>
        </w:rPr>
      </w:pPr>
      <w:r>
        <w:rPr>
          <w:rFonts w:ascii="Arial" w:hAnsi="Arial" w:cs="Arial"/>
          <w:sz w:val="24"/>
          <w:szCs w:val="24"/>
          <w:lang w:val="es-MX"/>
        </w:rPr>
        <w:t xml:space="preserve">Así, como lo he referido en el punto VII, </w:t>
      </w:r>
      <w:r w:rsidRPr="00EC094A">
        <w:rPr>
          <w:rFonts w:ascii="Arial" w:hAnsi="Arial" w:cs="Arial"/>
          <w:sz w:val="24"/>
          <w:szCs w:val="24"/>
          <w:lang w:val="es-MX"/>
        </w:rPr>
        <w:t xml:space="preserve">el artículo 109 de la CN </w:t>
      </w:r>
      <w:r>
        <w:rPr>
          <w:rFonts w:ascii="Arial" w:hAnsi="Arial" w:cs="Arial"/>
          <w:sz w:val="24"/>
          <w:szCs w:val="24"/>
          <w:lang w:val="es-AR"/>
        </w:rPr>
        <w:t>establece que:</w:t>
      </w:r>
      <w:r w:rsidRPr="00EC094A">
        <w:rPr>
          <w:rFonts w:ascii="Arial" w:hAnsi="Arial" w:cs="Arial"/>
          <w:sz w:val="24"/>
          <w:szCs w:val="24"/>
          <w:lang w:val="es-AR"/>
        </w:rPr>
        <w:t xml:space="preserve"> </w:t>
      </w:r>
      <w:r>
        <w:rPr>
          <w:rFonts w:ascii="Arial" w:hAnsi="Arial" w:cs="Arial"/>
          <w:sz w:val="24"/>
          <w:szCs w:val="24"/>
          <w:lang w:val="es-AR"/>
        </w:rPr>
        <w:t>“</w:t>
      </w:r>
      <w:r w:rsidRPr="00EC094A">
        <w:rPr>
          <w:rFonts w:ascii="Arial" w:hAnsi="Arial" w:cs="Arial"/>
          <w:iCs/>
          <w:sz w:val="24"/>
          <w:szCs w:val="24"/>
          <w:lang w:val="es-AR"/>
        </w:rPr>
        <w:t xml:space="preserve">En ningún caso el presidente de la Nación puede ejercer funciones judiciales, arrogarse el conocimiento de causas pendientes o restablecer las fenecidas”. </w:t>
      </w:r>
      <w:r>
        <w:rPr>
          <w:rFonts w:ascii="Arial" w:hAnsi="Arial" w:cs="Arial"/>
          <w:iCs/>
          <w:sz w:val="24"/>
          <w:szCs w:val="24"/>
          <w:lang w:val="es-AR"/>
        </w:rPr>
        <w:t xml:space="preserve">En función de esto la CSJN </w:t>
      </w:r>
      <w:r w:rsidRPr="00370FAD">
        <w:rPr>
          <w:rFonts w:ascii="Arial" w:hAnsi="Arial" w:cs="Arial"/>
          <w:iCs/>
          <w:sz w:val="24"/>
          <w:szCs w:val="24"/>
          <w:lang w:val="es-AR"/>
        </w:rPr>
        <w:t>consideró que la atribución de funciones jurisdiccionales a entes administrativos –como son los entes reguladores- para dirimir controversias de naturaleza patrimonial entre particulares implica un doble quebrantamiento constitucional ya que si, por una parte, produce la transgresión del principio que prohíbe al Poder Ejecutivo (y, por ende, a los órganos administrativos) el ejercicio de funciones judiciales (art. 109 CN) por la otra transgrede abiertamente la garantía de la defensa en juicio a la persona y sus derechos (art. 18 CN).</w:t>
      </w:r>
    </w:p>
    <w:p w:rsidR="00601100" w:rsidRDefault="00601100" w:rsidP="00601100">
      <w:pPr>
        <w:ind w:firstLine="1134"/>
        <w:jc w:val="both"/>
        <w:rPr>
          <w:rFonts w:ascii="Arial" w:hAnsi="Arial" w:cs="Arial"/>
          <w:iCs/>
          <w:sz w:val="24"/>
          <w:szCs w:val="24"/>
          <w:lang w:val="es-AR"/>
        </w:rPr>
      </w:pPr>
    </w:p>
    <w:p w:rsidR="00601100" w:rsidRPr="00474011" w:rsidRDefault="00601100" w:rsidP="00601100">
      <w:pPr>
        <w:ind w:firstLine="1134"/>
        <w:jc w:val="both"/>
        <w:rPr>
          <w:rFonts w:ascii="Arial" w:hAnsi="Arial" w:cs="Arial"/>
          <w:iCs/>
          <w:sz w:val="24"/>
          <w:szCs w:val="24"/>
          <w:lang w:val="es-AR"/>
        </w:rPr>
      </w:pPr>
      <w:r>
        <w:rPr>
          <w:rFonts w:ascii="Arial" w:hAnsi="Arial" w:cs="Arial"/>
          <w:iCs/>
          <w:sz w:val="24"/>
          <w:szCs w:val="24"/>
          <w:lang w:val="es-AR"/>
        </w:rPr>
        <w:t xml:space="preserve">Queda claro aquí el carácter restrictivo de la jurisdicción especial, pues cuando la Corte interpreta la expresión “toda controversia” mencionada en el artículo 72 de la ley 24.065, consideró que se refería sobre la materia que “válidamente” el Congreso pueda delegar a un Tribunal Administrativo, pero </w:t>
      </w:r>
      <w:r w:rsidRPr="00474011">
        <w:rPr>
          <w:rFonts w:ascii="Arial" w:hAnsi="Arial" w:cs="Arial"/>
          <w:iCs/>
          <w:sz w:val="24"/>
          <w:szCs w:val="24"/>
          <w:lang w:val="es-AR"/>
        </w:rPr>
        <w:t xml:space="preserve">esa atribución nunca podría constituir una delegación total de facultades jurisdiccionales al Ente Regulador, ni tampoco versar sobre cuestiones de derecho patrimonial privado, extrañas al ámbito de aplicación del art. 72 de la ley 24.065, como es un reclamo de daños y perjuicios entre usuarios y concesionarios. </w:t>
      </w:r>
    </w:p>
    <w:p w:rsidR="00601100" w:rsidRDefault="00601100" w:rsidP="00601100">
      <w:pPr>
        <w:ind w:firstLine="1134"/>
        <w:jc w:val="both"/>
        <w:rPr>
          <w:rFonts w:ascii="Arial" w:hAnsi="Arial" w:cs="Arial"/>
          <w:iCs/>
          <w:sz w:val="24"/>
          <w:szCs w:val="24"/>
          <w:lang w:val="es-AR"/>
        </w:rPr>
      </w:pPr>
    </w:p>
    <w:p w:rsidR="00601100" w:rsidRPr="00474011" w:rsidRDefault="00601100" w:rsidP="00601100">
      <w:pPr>
        <w:ind w:firstLine="1134"/>
        <w:jc w:val="both"/>
        <w:rPr>
          <w:rFonts w:ascii="Arial" w:hAnsi="Arial" w:cs="Arial"/>
          <w:iCs/>
          <w:sz w:val="24"/>
          <w:szCs w:val="24"/>
          <w:lang w:val="es-AR"/>
        </w:rPr>
      </w:pPr>
      <w:r>
        <w:rPr>
          <w:rFonts w:ascii="Arial" w:hAnsi="Arial" w:cs="Arial"/>
          <w:iCs/>
          <w:sz w:val="24"/>
          <w:szCs w:val="24"/>
          <w:lang w:val="es-AR"/>
        </w:rPr>
        <w:t xml:space="preserve">Justamente, </w:t>
      </w:r>
      <w:r w:rsidRPr="00474011">
        <w:rPr>
          <w:rFonts w:ascii="Arial" w:hAnsi="Arial" w:cs="Arial"/>
          <w:iCs/>
          <w:sz w:val="24"/>
          <w:szCs w:val="24"/>
          <w:lang w:val="es-AR"/>
        </w:rPr>
        <w:t xml:space="preserve">en </w:t>
      </w:r>
      <w:r>
        <w:rPr>
          <w:rFonts w:ascii="Arial" w:hAnsi="Arial" w:cs="Arial"/>
          <w:iCs/>
          <w:sz w:val="24"/>
          <w:szCs w:val="24"/>
          <w:lang w:val="es-AR"/>
        </w:rPr>
        <w:t xml:space="preserve">la presente causa, </w:t>
      </w:r>
      <w:r w:rsidRPr="00474011">
        <w:rPr>
          <w:rFonts w:ascii="Arial" w:hAnsi="Arial" w:cs="Arial"/>
          <w:iCs/>
          <w:sz w:val="24"/>
          <w:szCs w:val="24"/>
          <w:lang w:val="es-AR"/>
        </w:rPr>
        <w:t xml:space="preserve">estamos frente “controversias de naturaleza patrimonial entre particulares”: </w:t>
      </w:r>
      <w:r>
        <w:rPr>
          <w:rFonts w:ascii="Arial" w:hAnsi="Arial" w:cs="Arial"/>
          <w:iCs/>
          <w:sz w:val="24"/>
          <w:szCs w:val="24"/>
          <w:lang w:val="es-AR"/>
        </w:rPr>
        <w:t>un conflicto</w:t>
      </w:r>
      <w:r w:rsidRPr="00474011">
        <w:rPr>
          <w:rFonts w:ascii="Arial" w:hAnsi="Arial" w:cs="Arial"/>
          <w:iCs/>
          <w:sz w:val="24"/>
          <w:szCs w:val="24"/>
          <w:lang w:val="es-AR"/>
        </w:rPr>
        <w:t xml:space="preserve"> entre </w:t>
      </w:r>
      <w:r>
        <w:rPr>
          <w:rFonts w:ascii="Arial" w:hAnsi="Arial" w:cs="Arial"/>
          <w:iCs/>
          <w:sz w:val="24"/>
          <w:szCs w:val="24"/>
          <w:lang w:val="es-AR"/>
        </w:rPr>
        <w:t>trabajador y empleador/</w:t>
      </w:r>
      <w:r w:rsidRPr="00474011">
        <w:rPr>
          <w:rFonts w:ascii="Arial" w:hAnsi="Arial" w:cs="Arial"/>
          <w:iCs/>
          <w:sz w:val="24"/>
          <w:szCs w:val="24"/>
          <w:lang w:val="es-AR"/>
        </w:rPr>
        <w:t>aseguradora de riesgos, por la indemnización de accidentes laborales y/o enfermedades profesionales, regidas por el derecho común.</w:t>
      </w:r>
    </w:p>
    <w:p w:rsidR="00601100" w:rsidRPr="00D62184" w:rsidRDefault="00601100" w:rsidP="00601100">
      <w:pPr>
        <w:ind w:firstLine="1134"/>
        <w:jc w:val="both"/>
        <w:rPr>
          <w:rFonts w:ascii="Arial" w:hAnsi="Arial" w:cs="Arial"/>
          <w:iCs/>
          <w:sz w:val="24"/>
          <w:szCs w:val="24"/>
          <w:lang w:val="es-AR"/>
        </w:rPr>
      </w:pPr>
    </w:p>
    <w:p w:rsidR="00601100" w:rsidRDefault="00601100" w:rsidP="00601100">
      <w:pPr>
        <w:ind w:firstLine="1134"/>
        <w:jc w:val="both"/>
        <w:rPr>
          <w:rFonts w:ascii="Arial" w:hAnsi="Arial" w:cs="Arial"/>
          <w:iCs/>
          <w:sz w:val="24"/>
          <w:szCs w:val="24"/>
          <w:lang w:val="es-AR"/>
        </w:rPr>
      </w:pPr>
      <w:r w:rsidRPr="00D62184">
        <w:rPr>
          <w:rFonts w:ascii="Arial" w:hAnsi="Arial" w:cs="Arial"/>
          <w:iCs/>
          <w:sz w:val="24"/>
          <w:szCs w:val="24"/>
          <w:lang w:val="es-AR"/>
        </w:rPr>
        <w:t>Ello significa que</w:t>
      </w:r>
      <w:r>
        <w:rPr>
          <w:rFonts w:ascii="Arial" w:hAnsi="Arial" w:cs="Arial"/>
          <w:iCs/>
          <w:sz w:val="24"/>
          <w:szCs w:val="24"/>
          <w:lang w:val="es-AR"/>
        </w:rPr>
        <w:t>,</w:t>
      </w:r>
      <w:r w:rsidRPr="00D62184">
        <w:rPr>
          <w:rFonts w:ascii="Arial" w:hAnsi="Arial" w:cs="Arial"/>
          <w:iCs/>
          <w:sz w:val="24"/>
          <w:szCs w:val="24"/>
          <w:lang w:val="es-AR"/>
        </w:rPr>
        <w:t xml:space="preserve"> </w:t>
      </w:r>
      <w:r>
        <w:rPr>
          <w:rFonts w:ascii="Arial" w:hAnsi="Arial" w:cs="Arial"/>
          <w:iCs/>
          <w:sz w:val="24"/>
          <w:szCs w:val="24"/>
          <w:lang w:val="es-AR"/>
        </w:rPr>
        <w:t>el Congreso atribuyó jurisdicción ordinaria a un órgano administrativo, en una materia prohibida por los cimientos de nuestra forma de gobierno, y para más, con carácter “obligatorio”.</w:t>
      </w: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r>
        <w:rPr>
          <w:rFonts w:ascii="Arial" w:hAnsi="Arial" w:cs="Arial"/>
          <w:iCs/>
          <w:sz w:val="24"/>
          <w:szCs w:val="24"/>
          <w:lang w:val="es-MX"/>
        </w:rPr>
        <w:lastRenderedPageBreak/>
        <w:t>Esto, no es ni más ni menos que una vulneración al acceso a la justicia –debido proceso-, y la garantía del juez natural que asegure “independencia e imparcialidad”.</w:t>
      </w:r>
      <w:r>
        <w:rPr>
          <w:rStyle w:val="Refdenotaalpie"/>
          <w:rFonts w:ascii="Arial" w:hAnsi="Arial" w:cs="Arial"/>
          <w:iCs/>
          <w:sz w:val="24"/>
          <w:szCs w:val="24"/>
          <w:lang w:val="es-MX"/>
        </w:rPr>
        <w:footnoteReference w:id="32"/>
      </w: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r w:rsidRPr="00BD7819">
        <w:rPr>
          <w:rFonts w:ascii="Arial" w:hAnsi="Arial" w:cs="Arial"/>
          <w:iCs/>
          <w:sz w:val="24"/>
          <w:szCs w:val="24"/>
          <w:lang w:val="es-MX"/>
        </w:rPr>
        <w:t>Lo que nos lleva, automáticamente al artículo 18 de nuestra Carta Magna: “Ningún habitante de la Nación puede ser penado sin juicio previo fundado en ley anterior al hecho del proceso, ni juzgado por comisiones especiales, o sacado de los jueces designados por la ley antes del hecho de la causa”</w:t>
      </w:r>
    </w:p>
    <w:p w:rsidR="00601100" w:rsidRPr="00BD7819"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sidRPr="00BD7819">
        <w:rPr>
          <w:rFonts w:ascii="Arial" w:hAnsi="Arial" w:cs="Arial"/>
          <w:iCs/>
          <w:sz w:val="24"/>
          <w:szCs w:val="24"/>
          <w:lang w:val="es-MX"/>
        </w:rPr>
        <w:t xml:space="preserve">Justamente, la idea del “juez natural” remite a cuestiones de índole material y de fondo, no exclusivamente a la atribución de competencia, o de conocimiento de una causa a un tribunal que se hubiera constituido antes de los hechos del proceso, solo para evitar la existencia de tribunales especiales. </w:t>
      </w:r>
    </w:p>
    <w:p w:rsidR="00601100" w:rsidRPr="00BD7819"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Pr>
          <w:rFonts w:ascii="Arial" w:hAnsi="Arial" w:cs="Arial"/>
          <w:iCs/>
          <w:sz w:val="24"/>
          <w:szCs w:val="24"/>
          <w:lang w:val="es-MX"/>
        </w:rPr>
        <w:t>En el sentido</w:t>
      </w:r>
      <w:r w:rsidRPr="00BD7819">
        <w:rPr>
          <w:rFonts w:ascii="Arial" w:hAnsi="Arial" w:cs="Arial"/>
          <w:iCs/>
          <w:sz w:val="24"/>
          <w:szCs w:val="24"/>
          <w:lang w:val="es-MX"/>
        </w:rPr>
        <w:t>, el “juez natural” hace también, y específicamente en el ámbito laboral, a la existencia y conocimiento de jueces con formación específica de la normativa, de la realidad del mundo laboral, y de los principios básicos de la disciplina.</w:t>
      </w:r>
    </w:p>
    <w:p w:rsidR="00601100" w:rsidRPr="00BD7819"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sidRPr="00BD7819">
        <w:rPr>
          <w:rFonts w:ascii="Arial" w:hAnsi="Arial" w:cs="Arial"/>
          <w:iCs/>
          <w:sz w:val="24"/>
          <w:szCs w:val="24"/>
          <w:lang w:val="es-MX"/>
        </w:rPr>
        <w:t>Dentro de dichos principios, se encuentra aquel que refiere a una desigualdad de base que afecta a las relaciones laborales: el principio in dubio pro operario.</w:t>
      </w:r>
      <w:r>
        <w:rPr>
          <w:rFonts w:ascii="Arial" w:hAnsi="Arial" w:cs="Arial"/>
          <w:iCs/>
          <w:sz w:val="24"/>
          <w:szCs w:val="24"/>
          <w:lang w:val="es-MX"/>
        </w:rPr>
        <w:t xml:space="preserve"> Que es vital, no solo en la invocación de los derechos de fondo de los trabajadores, sino, aún más, en la cuestión adjetiva, especialmente en un proceso donde se reclame la efectividad de aquellos derechos (artículo 9 LCT).</w:t>
      </w:r>
    </w:p>
    <w:p w:rsidR="00601100" w:rsidRPr="00BD7819"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Pr>
          <w:rFonts w:ascii="Arial" w:hAnsi="Arial" w:cs="Arial"/>
          <w:iCs/>
          <w:sz w:val="24"/>
          <w:szCs w:val="24"/>
          <w:lang w:val="es-MX"/>
        </w:rPr>
        <w:t>No obstante, obsérvese que</w:t>
      </w:r>
      <w:r w:rsidRPr="00BD7819">
        <w:rPr>
          <w:rFonts w:ascii="Arial" w:hAnsi="Arial" w:cs="Arial"/>
          <w:iCs/>
          <w:sz w:val="24"/>
          <w:szCs w:val="24"/>
          <w:lang w:val="es-MX"/>
        </w:rPr>
        <w:t xml:space="preserve"> la ley 27.348 establece de forma o</w:t>
      </w:r>
      <w:r>
        <w:rPr>
          <w:rFonts w:ascii="Arial" w:hAnsi="Arial" w:cs="Arial"/>
          <w:iCs/>
          <w:sz w:val="24"/>
          <w:szCs w:val="24"/>
          <w:lang w:val="es-MX"/>
        </w:rPr>
        <w:t>bligatoria una instancia previa</w:t>
      </w:r>
      <w:r w:rsidRPr="00BD7819">
        <w:rPr>
          <w:rFonts w:ascii="Arial" w:hAnsi="Arial" w:cs="Arial"/>
          <w:iCs/>
          <w:sz w:val="24"/>
          <w:szCs w:val="24"/>
          <w:lang w:val="es-MX"/>
        </w:rPr>
        <w:t xml:space="preserve"> ante las comisiones médicas</w:t>
      </w:r>
      <w:r>
        <w:rPr>
          <w:rFonts w:ascii="Arial" w:hAnsi="Arial" w:cs="Arial"/>
          <w:iCs/>
          <w:sz w:val="24"/>
          <w:szCs w:val="24"/>
          <w:lang w:val="es-MX"/>
        </w:rPr>
        <w:t>, sustrayendo</w:t>
      </w:r>
      <w:r w:rsidRPr="00BD7819">
        <w:rPr>
          <w:rFonts w:ascii="Arial" w:hAnsi="Arial" w:cs="Arial"/>
          <w:iCs/>
          <w:sz w:val="24"/>
          <w:szCs w:val="24"/>
          <w:lang w:val="es-MX"/>
        </w:rPr>
        <w:t xml:space="preserve"> al trabajador de los jueces naturales de la causa, arrancándolo lisa y llanamente, de jueces abogados, para pasar a una esfera atendida por “jueces médicos”. Entonces, me pregunto, si esto podría sinceramente redundar en un beneficio para los trabajadores, siendo que además, quien “juzgue” no lo hará teniendo en cuenta la lógica de los principios del derecho del Trabajo. Entiendo que no.</w:t>
      </w:r>
    </w:p>
    <w:p w:rsidR="00601100" w:rsidRPr="00BD7819" w:rsidRDefault="00601100" w:rsidP="00601100">
      <w:pPr>
        <w:ind w:firstLine="1134"/>
        <w:jc w:val="both"/>
        <w:rPr>
          <w:rFonts w:ascii="Arial" w:hAnsi="Arial" w:cs="Arial"/>
          <w:iCs/>
          <w:sz w:val="24"/>
          <w:szCs w:val="24"/>
          <w:lang w:val="es-MX"/>
        </w:rPr>
      </w:pPr>
    </w:p>
    <w:p w:rsidR="00601100" w:rsidRPr="00FD2A15" w:rsidRDefault="00601100" w:rsidP="00601100">
      <w:pPr>
        <w:ind w:firstLine="1134"/>
        <w:jc w:val="both"/>
        <w:rPr>
          <w:rFonts w:ascii="Arial" w:hAnsi="Arial" w:cs="Arial"/>
          <w:b/>
          <w:iCs/>
          <w:sz w:val="24"/>
          <w:szCs w:val="24"/>
          <w:u w:val="single"/>
          <w:lang w:val="es-MX"/>
        </w:rPr>
      </w:pPr>
      <w:r w:rsidRPr="00BD7819">
        <w:rPr>
          <w:rFonts w:ascii="Arial" w:hAnsi="Arial" w:cs="Arial"/>
          <w:iCs/>
          <w:sz w:val="24"/>
          <w:szCs w:val="24"/>
          <w:lang w:val="es-MX"/>
        </w:rPr>
        <w:t xml:space="preserve">Precisamente, un proceso judicial laboral, necesita de un ojo especializado (que implica, </w:t>
      </w:r>
      <w:proofErr w:type="spellStart"/>
      <w:r w:rsidRPr="00BD7819">
        <w:rPr>
          <w:rFonts w:ascii="Arial" w:hAnsi="Arial" w:cs="Arial"/>
          <w:iCs/>
          <w:sz w:val="24"/>
          <w:szCs w:val="24"/>
          <w:lang w:val="es-MX"/>
        </w:rPr>
        <w:t>liminarmente</w:t>
      </w:r>
      <w:proofErr w:type="spellEnd"/>
      <w:r w:rsidRPr="00BD7819">
        <w:rPr>
          <w:rFonts w:ascii="Arial" w:hAnsi="Arial" w:cs="Arial"/>
          <w:iCs/>
          <w:sz w:val="24"/>
          <w:szCs w:val="24"/>
          <w:lang w:val="es-MX"/>
        </w:rPr>
        <w:t>, un abogado que ha concursado</w:t>
      </w:r>
      <w:r>
        <w:rPr>
          <w:rFonts w:ascii="Arial" w:hAnsi="Arial" w:cs="Arial"/>
          <w:iCs/>
          <w:sz w:val="24"/>
          <w:szCs w:val="24"/>
          <w:lang w:val="es-MX"/>
        </w:rPr>
        <w:t xml:space="preserve"> para ser juez), que contemple l</w:t>
      </w:r>
      <w:r w:rsidRPr="00BD7819">
        <w:rPr>
          <w:rFonts w:ascii="Arial" w:hAnsi="Arial" w:cs="Arial"/>
          <w:iCs/>
          <w:sz w:val="24"/>
          <w:szCs w:val="24"/>
          <w:lang w:val="es-MX"/>
        </w:rPr>
        <w:t xml:space="preserve">a desigualdad en la que se encuentra el </w:t>
      </w:r>
      <w:r w:rsidRPr="00A8485A">
        <w:rPr>
          <w:rFonts w:ascii="Arial" w:hAnsi="Arial" w:cs="Arial"/>
          <w:iCs/>
          <w:sz w:val="24"/>
          <w:szCs w:val="24"/>
          <w:lang w:val="es-MX"/>
        </w:rPr>
        <w:t>trabajador, que lo afecta antes, durante y después del juicio laboral, en todo sentido, debiendo, por ejemplo, valorar la aplicación de la carga dinámica de la prueba.</w:t>
      </w: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r>
        <w:rPr>
          <w:rFonts w:ascii="Arial" w:hAnsi="Arial" w:cs="Arial"/>
          <w:iCs/>
          <w:sz w:val="24"/>
          <w:szCs w:val="24"/>
          <w:lang w:val="es-MX"/>
        </w:rPr>
        <w:t>Ergo</w:t>
      </w:r>
      <w:r w:rsidRPr="00BD7819">
        <w:rPr>
          <w:rFonts w:ascii="Arial" w:hAnsi="Arial" w:cs="Arial"/>
          <w:iCs/>
          <w:sz w:val="24"/>
          <w:szCs w:val="24"/>
          <w:lang w:val="es-MX"/>
        </w:rPr>
        <w:t>, si esta desigualdad es olvidada muchas veces por el juez natural, mal podemos esperar que forme parte del juicio mental formulado en una Comisión Médica, limitada “supuestamente” a un juicio técnico, que im</w:t>
      </w:r>
      <w:r>
        <w:rPr>
          <w:rFonts w:ascii="Arial" w:hAnsi="Arial" w:cs="Arial"/>
          <w:iCs/>
          <w:sz w:val="24"/>
          <w:szCs w:val="24"/>
          <w:lang w:val="es-MX"/>
        </w:rPr>
        <w:t>plica además, relación causal .</w:t>
      </w:r>
    </w:p>
    <w:p w:rsidR="00601100" w:rsidRPr="00A8485A" w:rsidRDefault="00601100" w:rsidP="00601100">
      <w:pPr>
        <w:ind w:firstLine="1134"/>
        <w:jc w:val="both"/>
        <w:rPr>
          <w:rFonts w:ascii="Arial" w:hAnsi="Arial" w:cs="Arial"/>
          <w:iCs/>
          <w:sz w:val="24"/>
          <w:szCs w:val="24"/>
          <w:lang w:val="es-MX"/>
        </w:rPr>
      </w:pPr>
    </w:p>
    <w:p w:rsidR="00601100" w:rsidRPr="00A8485A" w:rsidRDefault="00601100" w:rsidP="00601100">
      <w:pPr>
        <w:ind w:firstLine="1134"/>
        <w:jc w:val="both"/>
        <w:rPr>
          <w:rFonts w:ascii="Arial" w:hAnsi="Arial" w:cs="Arial"/>
          <w:iCs/>
          <w:sz w:val="24"/>
          <w:szCs w:val="24"/>
          <w:lang w:val="es-MX"/>
        </w:rPr>
      </w:pPr>
      <w:r w:rsidRPr="00A8485A">
        <w:rPr>
          <w:rFonts w:ascii="Arial" w:hAnsi="Arial" w:cs="Arial"/>
          <w:iCs/>
          <w:sz w:val="24"/>
          <w:szCs w:val="24"/>
          <w:lang w:val="es-MX"/>
        </w:rPr>
        <w:t>Establecido esto, no puede negarse que “la especialidad” requerida es la del juez laboral.</w:t>
      </w:r>
    </w:p>
    <w:p w:rsidR="00601100" w:rsidRPr="00A8485A" w:rsidRDefault="00601100" w:rsidP="00601100">
      <w:pPr>
        <w:ind w:firstLine="1134"/>
        <w:jc w:val="both"/>
        <w:rPr>
          <w:rFonts w:ascii="Arial" w:hAnsi="Arial" w:cs="Arial"/>
          <w:iCs/>
          <w:sz w:val="24"/>
          <w:szCs w:val="24"/>
          <w:lang w:val="es-MX"/>
        </w:rPr>
      </w:pPr>
    </w:p>
    <w:p w:rsidR="00601100" w:rsidRPr="00A8485A" w:rsidRDefault="00601100" w:rsidP="00601100">
      <w:pPr>
        <w:ind w:firstLine="1134"/>
        <w:jc w:val="both"/>
        <w:rPr>
          <w:rFonts w:ascii="Arial" w:hAnsi="Arial" w:cs="Arial"/>
          <w:iCs/>
          <w:sz w:val="24"/>
          <w:szCs w:val="24"/>
          <w:lang w:val="es-MX"/>
        </w:rPr>
      </w:pPr>
      <w:r w:rsidRPr="00A8485A">
        <w:rPr>
          <w:rFonts w:ascii="Arial" w:hAnsi="Arial" w:cs="Arial"/>
          <w:iCs/>
          <w:sz w:val="24"/>
          <w:szCs w:val="24"/>
          <w:lang w:val="es-MX"/>
        </w:rPr>
        <w:t xml:space="preserve">Además, el ejercicio de la jurisdicción debe procurar asegurar la independencia e imparcialidad. En este caso, considero que tampoco se cumple con ninguno de los extremos. </w:t>
      </w:r>
    </w:p>
    <w:p w:rsidR="00601100" w:rsidRPr="00A8485A" w:rsidRDefault="00601100" w:rsidP="00601100">
      <w:pPr>
        <w:ind w:firstLine="1134"/>
        <w:jc w:val="both"/>
        <w:rPr>
          <w:rFonts w:ascii="Arial" w:hAnsi="Arial" w:cs="Arial"/>
          <w:iCs/>
          <w:sz w:val="24"/>
          <w:szCs w:val="24"/>
          <w:lang w:val="es-MX"/>
        </w:rPr>
      </w:pPr>
    </w:p>
    <w:p w:rsidR="00601100" w:rsidRPr="00A8485A" w:rsidRDefault="00601100" w:rsidP="00601100">
      <w:pPr>
        <w:ind w:firstLine="1134"/>
        <w:jc w:val="both"/>
        <w:rPr>
          <w:rFonts w:ascii="Arial" w:hAnsi="Arial" w:cs="Arial"/>
          <w:iCs/>
          <w:sz w:val="24"/>
          <w:szCs w:val="24"/>
          <w:lang w:val="es-MX"/>
        </w:rPr>
      </w:pPr>
      <w:r w:rsidRPr="00A8485A">
        <w:rPr>
          <w:rFonts w:ascii="Arial" w:hAnsi="Arial" w:cs="Arial"/>
          <w:iCs/>
          <w:sz w:val="24"/>
          <w:szCs w:val="24"/>
          <w:lang w:val="es-MX"/>
        </w:rPr>
        <w:t>En diversas problemáticas de interpretación jurídica, considero central seguir el camino que recorre el dinero para establecer ciertos vínculos. En este caso encuentro que la dependencia del órgano administrativo con una de las partes de la controversia es total y, tiñe de parcialidad la decisión de los “jueces médicos”.</w:t>
      </w: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AR"/>
        </w:rPr>
      </w:pPr>
      <w:r w:rsidRPr="00A40D7F">
        <w:rPr>
          <w:rFonts w:ascii="Arial" w:hAnsi="Arial" w:cs="Arial"/>
          <w:iCs/>
          <w:sz w:val="24"/>
          <w:szCs w:val="24"/>
          <w:lang w:val="es-MX"/>
        </w:rPr>
        <w:t xml:space="preserve">Veamos el origen de la Comisiones Médicas. La Ley 24557 </w:t>
      </w:r>
      <w:r w:rsidRPr="00A40D7F">
        <w:rPr>
          <w:rFonts w:ascii="Arial" w:hAnsi="Arial" w:cs="Arial"/>
          <w:iCs/>
          <w:sz w:val="24"/>
          <w:szCs w:val="24"/>
          <w:lang w:val="es-AR"/>
        </w:rPr>
        <w:t xml:space="preserve">establece en el artículo 21 que: “1. Las comisiones médicas y la Comisión Médica Central creadas por la ley 24.241 (artículo 51)”. A su vez el artículo 51 de la Ley 24241, establecía: “Comisiones médicas. Integración y financiamiento: Las comisiones médicas y la Comisión Médica Central estarán integradas por cinco (5) médicos que serán designados: tres (3) por la Superintendencia de Administradoras de Fondos de Jubilaciones y Pensiones y dos (2) por la Superintendencia de Riesgos del Trabajo, los que serán seleccionados por concurso público de oposición y antecedentes. Contarán con la colaboración de personal profesional, técnico y administrativo. </w:t>
      </w:r>
      <w:r w:rsidRPr="00A40D7F">
        <w:rPr>
          <w:rFonts w:ascii="Arial" w:hAnsi="Arial" w:cs="Arial"/>
          <w:b/>
          <w:iCs/>
          <w:sz w:val="24"/>
          <w:szCs w:val="24"/>
          <w:lang w:val="es-AR"/>
        </w:rPr>
        <w:t>Los gastos que demande el funcionamiento de las comisiones serán financiados por las Administradoras de Fondos de Jubilaciones y Pensiones y las Aseguradoras de Riesgos del Trabajo</w:t>
      </w:r>
      <w:r w:rsidRPr="00A40D7F">
        <w:rPr>
          <w:rFonts w:ascii="Arial" w:hAnsi="Arial" w:cs="Arial"/>
          <w:iCs/>
          <w:sz w:val="24"/>
          <w:szCs w:val="24"/>
          <w:lang w:val="es-AR"/>
        </w:rPr>
        <w:t>, en el porcentaje que fije la reglamentación.”</w:t>
      </w:r>
    </w:p>
    <w:p w:rsidR="00601100" w:rsidRPr="00A40D7F" w:rsidRDefault="00601100" w:rsidP="00601100">
      <w:pPr>
        <w:ind w:firstLine="1134"/>
        <w:jc w:val="both"/>
        <w:rPr>
          <w:rFonts w:ascii="Arial" w:hAnsi="Arial" w:cs="Arial"/>
          <w:iCs/>
          <w:sz w:val="24"/>
          <w:szCs w:val="24"/>
          <w:lang w:val="es-AR"/>
        </w:rPr>
      </w:pPr>
    </w:p>
    <w:p w:rsidR="00601100" w:rsidRDefault="00601100" w:rsidP="00601100">
      <w:pPr>
        <w:ind w:firstLine="1134"/>
        <w:jc w:val="both"/>
        <w:rPr>
          <w:rFonts w:ascii="Arial" w:hAnsi="Arial" w:cs="Arial"/>
          <w:iCs/>
          <w:sz w:val="24"/>
          <w:szCs w:val="24"/>
          <w:lang w:val="es-AR"/>
        </w:rPr>
      </w:pPr>
      <w:r w:rsidRPr="00A40D7F">
        <w:rPr>
          <w:rFonts w:ascii="Arial" w:hAnsi="Arial" w:cs="Arial"/>
          <w:iCs/>
          <w:sz w:val="24"/>
          <w:szCs w:val="24"/>
          <w:lang w:val="es-AR"/>
        </w:rPr>
        <w:t>Luego, realizada la unificación del sistema previsional se determinó en el artículo 15</w:t>
      </w:r>
      <w:r>
        <w:rPr>
          <w:rFonts w:ascii="Arial" w:hAnsi="Arial" w:cs="Arial"/>
          <w:iCs/>
          <w:sz w:val="24"/>
          <w:szCs w:val="24"/>
          <w:lang w:val="es-AR"/>
        </w:rPr>
        <w:t xml:space="preserve">, </w:t>
      </w:r>
      <w:r w:rsidRPr="00845472">
        <w:rPr>
          <w:rFonts w:ascii="Arial" w:hAnsi="Arial" w:cs="Arial"/>
          <w:iCs/>
          <w:sz w:val="24"/>
          <w:szCs w:val="24"/>
          <w:lang w:val="es-AR"/>
        </w:rPr>
        <w:t>Ley  26425</w:t>
      </w:r>
      <w:r w:rsidRPr="00A40D7F">
        <w:rPr>
          <w:rFonts w:ascii="Arial" w:hAnsi="Arial" w:cs="Arial"/>
          <w:iCs/>
          <w:sz w:val="24"/>
          <w:szCs w:val="24"/>
          <w:lang w:val="es-AR"/>
        </w:rPr>
        <w:t xml:space="preserve">: “El personal médico, técnico, auxiliar y administrativo que se desempeñe ante las comisiones médicas y la Comisión Médica Central creadas por el artículo 51 de la Ley 24.241 y sus modificatorias será transferido a la Superintendencia de Riesgos del Trabajo, en la proporción y oportunidad que sea necesario para su funcionamiento, conforme lo determine el Ministerio de Trabajo, Empleo y Seguridad Social. A los efectos relativos a la antigüedad en el empleo del personal que sea transferido, se considerará como tiempo de servicio el efectivamente trabajado desde el comienzo de la vinculación con el organismo cedente. Asimismo, deberán transferirse los bienes inmuebles, muebles y equipamiento técnico necesarios para el adecuado funcionamiento de las comisiones médicas. </w:t>
      </w:r>
      <w:r w:rsidRPr="00A40D7F">
        <w:rPr>
          <w:rFonts w:ascii="Arial" w:hAnsi="Arial" w:cs="Arial"/>
          <w:b/>
          <w:iCs/>
          <w:sz w:val="24"/>
          <w:szCs w:val="24"/>
          <w:lang w:val="es-AR"/>
        </w:rPr>
        <w:t>Los gastos que demanden las comisiones médicas y la Comisión Médica Central serán financiados por la Administración Nacional de la Seguridad Social y las aseguradoras de riesgos del trabajo</w:t>
      </w:r>
      <w:r w:rsidRPr="00A40D7F">
        <w:rPr>
          <w:rFonts w:ascii="Arial" w:hAnsi="Arial" w:cs="Arial"/>
          <w:iCs/>
          <w:sz w:val="24"/>
          <w:szCs w:val="24"/>
          <w:lang w:val="es-AR"/>
        </w:rPr>
        <w:t>, en la forma y proporciones establecidas en la reglamentación.”</w:t>
      </w:r>
    </w:p>
    <w:p w:rsidR="00601100" w:rsidRPr="00A40D7F" w:rsidRDefault="00601100" w:rsidP="00601100">
      <w:pPr>
        <w:ind w:firstLine="1134"/>
        <w:jc w:val="both"/>
        <w:rPr>
          <w:rFonts w:ascii="Arial" w:hAnsi="Arial" w:cs="Arial"/>
          <w:iCs/>
          <w:sz w:val="24"/>
          <w:szCs w:val="24"/>
          <w:lang w:val="es-AR"/>
        </w:rPr>
      </w:pPr>
    </w:p>
    <w:p w:rsidR="00601100" w:rsidRPr="00A40D7F" w:rsidRDefault="00601100" w:rsidP="00601100">
      <w:pPr>
        <w:ind w:firstLine="1134"/>
        <w:jc w:val="both"/>
        <w:rPr>
          <w:rFonts w:ascii="Arial" w:hAnsi="Arial" w:cs="Arial"/>
          <w:iCs/>
          <w:sz w:val="24"/>
          <w:szCs w:val="24"/>
          <w:lang w:val="es-AR"/>
        </w:rPr>
      </w:pPr>
      <w:r w:rsidRPr="00A40D7F">
        <w:rPr>
          <w:rFonts w:ascii="Arial" w:hAnsi="Arial" w:cs="Arial"/>
          <w:iCs/>
          <w:sz w:val="24"/>
          <w:szCs w:val="24"/>
          <w:lang w:val="es-AR"/>
        </w:rPr>
        <w:t>A su vez</w:t>
      </w:r>
      <w:r>
        <w:rPr>
          <w:rFonts w:ascii="Arial" w:hAnsi="Arial" w:cs="Arial"/>
          <w:iCs/>
          <w:sz w:val="24"/>
          <w:szCs w:val="24"/>
          <w:lang w:val="es-AR"/>
        </w:rPr>
        <w:t>,</w:t>
      </w:r>
      <w:r w:rsidRPr="00A40D7F">
        <w:rPr>
          <w:rFonts w:ascii="Arial" w:hAnsi="Arial" w:cs="Arial"/>
          <w:iCs/>
          <w:sz w:val="24"/>
          <w:szCs w:val="24"/>
          <w:lang w:val="es-AR"/>
        </w:rPr>
        <w:t xml:space="preserve"> la Superintendencia de Riesgos  del Trabajo artículo </w:t>
      </w:r>
      <w:r w:rsidRPr="00A40D7F">
        <w:rPr>
          <w:rFonts w:ascii="Arial" w:hAnsi="Arial" w:cs="Arial"/>
          <w:b/>
          <w:bCs/>
          <w:iCs/>
          <w:sz w:val="24"/>
          <w:szCs w:val="24"/>
          <w:lang w:val="es-AR"/>
        </w:rPr>
        <w:t xml:space="preserve">35 de </w:t>
      </w:r>
      <w:r w:rsidRPr="00A40D7F">
        <w:rPr>
          <w:rFonts w:ascii="Arial" w:hAnsi="Arial" w:cs="Arial"/>
          <w:bCs/>
          <w:iCs/>
          <w:sz w:val="24"/>
          <w:szCs w:val="24"/>
          <w:lang w:val="es-AR"/>
        </w:rPr>
        <w:t>la Ley 24557, establece: “</w:t>
      </w:r>
      <w:r w:rsidRPr="00A40D7F">
        <w:rPr>
          <w:rFonts w:ascii="Arial" w:hAnsi="Arial" w:cs="Arial"/>
          <w:iCs/>
          <w:sz w:val="24"/>
          <w:szCs w:val="24"/>
          <w:lang w:val="es-AR"/>
        </w:rPr>
        <w:t xml:space="preserve">Créase la Superintendencia de Riesgos de Trabajo (SRT), como </w:t>
      </w:r>
      <w:r w:rsidRPr="00903CD9">
        <w:rPr>
          <w:rFonts w:ascii="Arial" w:hAnsi="Arial" w:cs="Arial"/>
          <w:b/>
          <w:iCs/>
          <w:sz w:val="24"/>
          <w:szCs w:val="24"/>
          <w:lang w:val="es-AR"/>
        </w:rPr>
        <w:t>entidad autárquica</w:t>
      </w:r>
      <w:r w:rsidRPr="00A40D7F">
        <w:rPr>
          <w:rFonts w:ascii="Arial" w:hAnsi="Arial" w:cs="Arial"/>
          <w:iCs/>
          <w:sz w:val="24"/>
          <w:szCs w:val="24"/>
          <w:lang w:val="es-AR"/>
        </w:rPr>
        <w:t xml:space="preserve"> en jurisdicción del Ministerio de Trabajo y Seguridad Social de la Nación. La SRT absorberá las funciones y atribuciones qué actualmente desempeña la Dirección Nacional de Salud y Seguridad en el Trabajo.” Estableciendo que los “1. </w:t>
      </w:r>
      <w:r w:rsidRPr="00845472">
        <w:rPr>
          <w:rFonts w:ascii="Arial" w:hAnsi="Arial" w:cs="Arial"/>
          <w:b/>
          <w:iCs/>
          <w:sz w:val="24"/>
          <w:szCs w:val="24"/>
          <w:lang w:val="es-AR"/>
        </w:rPr>
        <w:t>Los gastos de funcionamiento de los entes de supervisión se atenderá con la tasa prevista en la ley 20.091 (artículo 81), aplicada sobre las cuotas mensuales que el empleador paga a las ART</w:t>
      </w:r>
      <w:r w:rsidRPr="00A40D7F">
        <w:rPr>
          <w:rFonts w:ascii="Arial" w:hAnsi="Arial" w:cs="Arial"/>
          <w:iCs/>
          <w:sz w:val="24"/>
          <w:szCs w:val="24"/>
          <w:lang w:val="es-AR"/>
        </w:rPr>
        <w:t>.”</w:t>
      </w:r>
    </w:p>
    <w:p w:rsidR="00601100" w:rsidRDefault="00601100" w:rsidP="00601100">
      <w:pPr>
        <w:ind w:firstLine="1134"/>
        <w:jc w:val="both"/>
        <w:rPr>
          <w:rFonts w:ascii="Arial" w:hAnsi="Arial" w:cs="Arial"/>
          <w:iCs/>
          <w:sz w:val="24"/>
          <w:szCs w:val="24"/>
          <w:lang w:val="es-AR"/>
        </w:rPr>
      </w:pPr>
    </w:p>
    <w:p w:rsidR="00601100" w:rsidRPr="004A3FD5" w:rsidRDefault="00601100" w:rsidP="00601100">
      <w:pPr>
        <w:ind w:firstLine="1134"/>
        <w:jc w:val="both"/>
        <w:rPr>
          <w:rFonts w:ascii="Arial" w:hAnsi="Arial" w:cs="Arial"/>
          <w:iCs/>
          <w:sz w:val="24"/>
          <w:szCs w:val="24"/>
          <w:lang w:val="es-AR"/>
        </w:rPr>
      </w:pPr>
      <w:r>
        <w:rPr>
          <w:rFonts w:ascii="Arial" w:hAnsi="Arial" w:cs="Arial"/>
          <w:iCs/>
          <w:sz w:val="24"/>
          <w:szCs w:val="24"/>
          <w:lang w:val="es-AR"/>
        </w:rPr>
        <w:t xml:space="preserve">En definitiva, las ART y el ANSES, son los únicos que financian el funcionamiento del procedimiento administrativo de las comisiones médicas en proporción de las alícuotas de los empleadores,   así como el sostenimiento de la Superintendencia de Riesgos del Trabajo. Esto es,  en el caso, </w:t>
      </w:r>
      <w:r w:rsidRPr="00F92016">
        <w:rPr>
          <w:rFonts w:ascii="Arial" w:hAnsi="Arial" w:cs="Arial"/>
          <w:b/>
          <w:iCs/>
          <w:sz w:val="24"/>
          <w:szCs w:val="24"/>
          <w:lang w:val="es-AR"/>
        </w:rPr>
        <w:t>quien financia es parte del conflicto</w:t>
      </w:r>
      <w:r>
        <w:rPr>
          <w:rFonts w:ascii="Arial" w:hAnsi="Arial" w:cs="Arial"/>
          <w:iCs/>
          <w:sz w:val="24"/>
          <w:szCs w:val="24"/>
          <w:lang w:val="es-AR"/>
        </w:rPr>
        <w:t xml:space="preserve">, </w:t>
      </w:r>
      <w:r w:rsidRPr="004A3FD5">
        <w:rPr>
          <w:rFonts w:ascii="Arial" w:hAnsi="Arial" w:cs="Arial"/>
          <w:iCs/>
          <w:sz w:val="24"/>
          <w:szCs w:val="24"/>
          <w:lang w:val="es-AR"/>
        </w:rPr>
        <w:t xml:space="preserve">lo cual genera dudosa imparcialidad, </w:t>
      </w:r>
      <w:proofErr w:type="spellStart"/>
      <w:r w:rsidRPr="004A3FD5">
        <w:rPr>
          <w:rFonts w:ascii="Arial" w:hAnsi="Arial" w:cs="Arial"/>
          <w:iCs/>
          <w:sz w:val="24"/>
          <w:szCs w:val="24"/>
          <w:lang w:val="es-AR"/>
        </w:rPr>
        <w:t>parenciéndose</w:t>
      </w:r>
      <w:proofErr w:type="spellEnd"/>
      <w:r w:rsidRPr="004A3FD5">
        <w:rPr>
          <w:rFonts w:ascii="Arial" w:hAnsi="Arial" w:cs="Arial"/>
          <w:iCs/>
          <w:sz w:val="24"/>
          <w:szCs w:val="24"/>
          <w:lang w:val="es-AR"/>
        </w:rPr>
        <w:t xml:space="preserve"> estructuralmente a una tercerización de la justicia, en materia de reparación sistémica.</w:t>
      </w:r>
    </w:p>
    <w:p w:rsidR="00601100" w:rsidRPr="004A3FD5" w:rsidRDefault="00601100" w:rsidP="00601100">
      <w:pPr>
        <w:ind w:firstLine="1134"/>
        <w:jc w:val="both"/>
        <w:rPr>
          <w:rFonts w:ascii="Arial" w:hAnsi="Arial" w:cs="Arial"/>
          <w:iCs/>
          <w:sz w:val="24"/>
          <w:szCs w:val="24"/>
          <w:lang w:val="es-AR"/>
        </w:rPr>
      </w:pPr>
    </w:p>
    <w:p w:rsidR="00601100" w:rsidRPr="004A3FD5" w:rsidRDefault="00601100" w:rsidP="00601100">
      <w:pPr>
        <w:ind w:firstLine="1134"/>
        <w:jc w:val="both"/>
        <w:rPr>
          <w:rFonts w:ascii="Arial" w:hAnsi="Arial" w:cs="Arial"/>
          <w:iCs/>
          <w:sz w:val="24"/>
          <w:szCs w:val="24"/>
          <w:lang w:val="es-MX"/>
        </w:rPr>
      </w:pPr>
      <w:r w:rsidRPr="004A3FD5">
        <w:rPr>
          <w:rFonts w:ascii="Arial" w:hAnsi="Arial" w:cs="Arial"/>
          <w:iCs/>
          <w:sz w:val="24"/>
          <w:szCs w:val="24"/>
          <w:lang w:val="es-MX"/>
        </w:rPr>
        <w:lastRenderedPageBreak/>
        <w:t>En retrospectiva, observo que el desplazamiento de los jueces naturales ha sido una constante en la materia, y con un marcado sentido regresivo.</w:t>
      </w:r>
    </w:p>
    <w:p w:rsidR="00601100"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Pr>
          <w:rFonts w:ascii="Arial" w:hAnsi="Arial" w:cs="Arial"/>
          <w:iCs/>
          <w:sz w:val="24"/>
          <w:szCs w:val="24"/>
          <w:lang w:val="es-MX"/>
        </w:rPr>
        <w:t xml:space="preserve">Veamos. </w:t>
      </w:r>
      <w:r w:rsidRPr="00BD7819">
        <w:rPr>
          <w:rFonts w:ascii="Arial" w:hAnsi="Arial" w:cs="Arial"/>
          <w:iCs/>
          <w:sz w:val="24"/>
          <w:szCs w:val="24"/>
          <w:lang w:val="es-MX"/>
        </w:rPr>
        <w:t>Ley 24.557: en su art. 46, disponía la opción de recurrir ante las comisiones médicas provinciales, ante el juez federal de cada provincia o ante la Comisión Médica Central. Dichas resoluciones, eran recurribles ante la Cámara Federal de la Seguridad Social. A su vez, para la acción derivada del antiguo art. 1.072 del C.C. era competente la justicia civil. Sobre estos temas, la CS resolvió en los casos “Castillo</w:t>
      </w:r>
      <w:r>
        <w:rPr>
          <w:rFonts w:ascii="Arial" w:hAnsi="Arial" w:cs="Arial"/>
          <w:iCs/>
          <w:sz w:val="24"/>
          <w:szCs w:val="24"/>
          <w:lang w:val="es-MX"/>
        </w:rPr>
        <w:t>” (del 07/09/2004) y “</w:t>
      </w:r>
      <w:proofErr w:type="spellStart"/>
      <w:r>
        <w:rPr>
          <w:rFonts w:ascii="Arial" w:hAnsi="Arial" w:cs="Arial"/>
          <w:iCs/>
          <w:sz w:val="24"/>
          <w:szCs w:val="24"/>
          <w:lang w:val="es-MX"/>
        </w:rPr>
        <w:t>Venialgo</w:t>
      </w:r>
      <w:proofErr w:type="spellEnd"/>
      <w:r>
        <w:rPr>
          <w:rFonts w:ascii="Arial" w:hAnsi="Arial" w:cs="Arial"/>
          <w:iCs/>
          <w:sz w:val="24"/>
          <w:szCs w:val="24"/>
          <w:lang w:val="es-MX"/>
        </w:rPr>
        <w:t>”</w:t>
      </w:r>
      <w:r w:rsidRPr="00BD7819">
        <w:rPr>
          <w:rFonts w:ascii="Arial" w:hAnsi="Arial" w:cs="Arial"/>
          <w:iCs/>
          <w:sz w:val="24"/>
          <w:szCs w:val="24"/>
          <w:lang w:val="es-MX"/>
        </w:rPr>
        <w:t>.</w:t>
      </w:r>
    </w:p>
    <w:p w:rsidR="00601100" w:rsidRDefault="00601100" w:rsidP="00601100">
      <w:pPr>
        <w:ind w:firstLine="1134"/>
        <w:jc w:val="both"/>
        <w:rPr>
          <w:rFonts w:ascii="Arial" w:hAnsi="Arial" w:cs="Arial"/>
          <w:iCs/>
          <w:sz w:val="24"/>
          <w:szCs w:val="24"/>
          <w:lang w:val="es-MX"/>
        </w:rPr>
      </w:pPr>
    </w:p>
    <w:p w:rsidR="00601100" w:rsidRPr="00BD7819" w:rsidRDefault="00601100" w:rsidP="00601100">
      <w:pPr>
        <w:ind w:firstLine="1134"/>
        <w:jc w:val="both"/>
        <w:rPr>
          <w:rFonts w:ascii="Arial" w:hAnsi="Arial" w:cs="Arial"/>
          <w:iCs/>
          <w:sz w:val="24"/>
          <w:szCs w:val="24"/>
          <w:lang w:val="es-MX"/>
        </w:rPr>
      </w:pPr>
      <w:r>
        <w:rPr>
          <w:rFonts w:ascii="Arial" w:hAnsi="Arial" w:cs="Arial"/>
          <w:iCs/>
          <w:sz w:val="24"/>
          <w:szCs w:val="24"/>
          <w:lang w:val="es-MX"/>
        </w:rPr>
        <w:t xml:space="preserve">Luego, la Ley 26.773 en su artículo </w:t>
      </w:r>
      <w:r w:rsidRPr="00BD7819">
        <w:rPr>
          <w:rFonts w:ascii="Arial" w:hAnsi="Arial" w:cs="Arial"/>
          <w:iCs/>
          <w:sz w:val="24"/>
          <w:szCs w:val="24"/>
          <w:lang w:val="es-MX"/>
        </w:rPr>
        <w:t xml:space="preserve"> 4</w:t>
      </w:r>
      <w:r>
        <w:rPr>
          <w:rFonts w:ascii="Arial" w:hAnsi="Arial" w:cs="Arial"/>
          <w:iCs/>
          <w:sz w:val="24"/>
          <w:szCs w:val="24"/>
          <w:lang w:val="es-MX"/>
        </w:rPr>
        <w:t xml:space="preserve"> y artículo</w:t>
      </w:r>
      <w:r w:rsidRPr="00BD7819">
        <w:rPr>
          <w:rFonts w:ascii="Arial" w:hAnsi="Arial" w:cs="Arial"/>
          <w:iCs/>
          <w:sz w:val="24"/>
          <w:szCs w:val="24"/>
          <w:lang w:val="es-MX"/>
        </w:rPr>
        <w:t xml:space="preserve"> </w:t>
      </w:r>
      <w:r>
        <w:rPr>
          <w:rFonts w:ascii="Arial" w:hAnsi="Arial" w:cs="Arial"/>
          <w:iCs/>
          <w:sz w:val="24"/>
          <w:szCs w:val="24"/>
          <w:lang w:val="es-MX"/>
        </w:rPr>
        <w:t xml:space="preserve">17 inciso 4, </w:t>
      </w:r>
      <w:r w:rsidRPr="00BD7819">
        <w:rPr>
          <w:rFonts w:ascii="Arial" w:hAnsi="Arial" w:cs="Arial"/>
          <w:iCs/>
          <w:sz w:val="24"/>
          <w:szCs w:val="24"/>
          <w:lang w:val="es-MX"/>
        </w:rPr>
        <w:t xml:space="preserve">establecía que ante la opción por el derecho común, era la justicia civil la competente, desplazando así </w:t>
      </w:r>
      <w:r>
        <w:rPr>
          <w:rFonts w:ascii="Arial" w:hAnsi="Arial" w:cs="Arial"/>
          <w:iCs/>
          <w:sz w:val="24"/>
          <w:szCs w:val="24"/>
          <w:lang w:val="es-MX"/>
        </w:rPr>
        <w:t>la interpretación especializada, pues expresamente establecía que los jueces civiles debían aplicar los principios de derecho civil, no los vigentes en materia laboral (tratamiento en el fallo “Acevedo” ya citado)</w:t>
      </w: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r>
        <w:rPr>
          <w:rFonts w:ascii="Arial" w:hAnsi="Arial" w:cs="Arial"/>
          <w:iCs/>
          <w:sz w:val="24"/>
          <w:szCs w:val="24"/>
          <w:lang w:val="es-MX"/>
        </w:rPr>
        <w:t xml:space="preserve">Rematando con la Ley 27.348, que </w:t>
      </w:r>
      <w:r w:rsidRPr="00BD7819">
        <w:rPr>
          <w:rFonts w:ascii="Arial" w:hAnsi="Arial" w:cs="Arial"/>
          <w:iCs/>
          <w:sz w:val="24"/>
          <w:szCs w:val="24"/>
          <w:lang w:val="es-MX"/>
        </w:rPr>
        <w:t>directamente insti</w:t>
      </w:r>
      <w:r>
        <w:rPr>
          <w:rFonts w:ascii="Arial" w:hAnsi="Arial" w:cs="Arial"/>
          <w:iCs/>
          <w:sz w:val="24"/>
          <w:szCs w:val="24"/>
          <w:lang w:val="es-MX"/>
        </w:rPr>
        <w:t xml:space="preserve">tuye de manera “obligatoria” a </w:t>
      </w:r>
      <w:r w:rsidRPr="00BD7819">
        <w:rPr>
          <w:rFonts w:ascii="Arial" w:hAnsi="Arial" w:cs="Arial"/>
          <w:iCs/>
          <w:sz w:val="24"/>
          <w:szCs w:val="24"/>
          <w:lang w:val="es-MX"/>
        </w:rPr>
        <w:t xml:space="preserve">“jueces” médicos, para </w:t>
      </w:r>
      <w:r>
        <w:rPr>
          <w:rFonts w:ascii="Arial" w:hAnsi="Arial" w:cs="Arial"/>
          <w:iCs/>
          <w:sz w:val="24"/>
          <w:szCs w:val="24"/>
          <w:lang w:val="es-MX"/>
        </w:rPr>
        <w:t>habilitar luego la vía laboral.</w:t>
      </w:r>
    </w:p>
    <w:p w:rsidR="00601100" w:rsidRPr="00BD7819"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
          <w:iCs/>
          <w:sz w:val="24"/>
          <w:szCs w:val="24"/>
        </w:rPr>
      </w:pPr>
      <w:r w:rsidRPr="00BD7819">
        <w:rPr>
          <w:rFonts w:ascii="Arial" w:hAnsi="Arial" w:cs="Arial"/>
          <w:iCs/>
          <w:sz w:val="24"/>
          <w:szCs w:val="24"/>
          <w:lang w:val="es-MX"/>
        </w:rPr>
        <w:t>Interpreto, que esta sucesión de leyes responde al objetivo de ganar más tiempo, y logra</w:t>
      </w:r>
      <w:r>
        <w:rPr>
          <w:rFonts w:ascii="Arial" w:hAnsi="Arial" w:cs="Arial"/>
          <w:iCs/>
          <w:sz w:val="24"/>
          <w:szCs w:val="24"/>
          <w:lang w:val="es-MX"/>
        </w:rPr>
        <w:t xml:space="preserve">r uniformidad en las decisiones, puesto que, como he analizado en el punto anterior, la uniformidad no puede obligarse por la obligatoriedad de la jurisprudencia, se pretende establecerla por órganos administrativos que en los hechos funcionarían como agencias tal como lo confiesan al citar el fallo “Texas” de la Corte Norteamericana, cerrando el juego del mercado representado por las aseguradoras de riesgos, a través de las CCMM: “ (…) </w:t>
      </w:r>
      <w:r w:rsidRPr="00E13DFC">
        <w:rPr>
          <w:rFonts w:ascii="Arial" w:hAnsi="Arial" w:cs="Arial"/>
          <w:i/>
          <w:iCs/>
          <w:sz w:val="24"/>
          <w:szCs w:val="24"/>
        </w:rPr>
        <w:t xml:space="preserve">o cuando se procure asegurar la </w:t>
      </w:r>
      <w:r w:rsidRPr="00E13DFC">
        <w:rPr>
          <w:rFonts w:ascii="Arial" w:hAnsi="Arial" w:cs="Arial"/>
          <w:b/>
          <w:i/>
          <w:iCs/>
          <w:sz w:val="24"/>
          <w:szCs w:val="24"/>
        </w:rPr>
        <w:t>uniformidad</w:t>
      </w:r>
      <w:r w:rsidRPr="00E13DFC">
        <w:rPr>
          <w:rFonts w:ascii="Arial" w:hAnsi="Arial" w:cs="Arial"/>
          <w:i/>
          <w:iCs/>
          <w:sz w:val="24"/>
          <w:szCs w:val="24"/>
        </w:rPr>
        <w:t xml:space="preserve"> y </w:t>
      </w:r>
      <w:r w:rsidRPr="00E13DFC">
        <w:rPr>
          <w:rFonts w:ascii="Arial" w:hAnsi="Arial" w:cs="Arial"/>
          <w:b/>
          <w:i/>
          <w:iCs/>
          <w:sz w:val="24"/>
          <w:szCs w:val="24"/>
        </w:rPr>
        <w:t>consistencia</w:t>
      </w:r>
      <w:r w:rsidRPr="00E13DFC">
        <w:rPr>
          <w:rFonts w:ascii="Arial" w:hAnsi="Arial" w:cs="Arial"/>
          <w:i/>
          <w:iCs/>
          <w:sz w:val="24"/>
          <w:szCs w:val="24"/>
        </w:rPr>
        <w:t xml:space="preserve"> en la </w:t>
      </w:r>
      <w:r w:rsidRPr="00E13DFC">
        <w:rPr>
          <w:rFonts w:ascii="Arial" w:hAnsi="Arial" w:cs="Arial"/>
          <w:b/>
          <w:i/>
          <w:iCs/>
          <w:sz w:val="24"/>
          <w:szCs w:val="24"/>
        </w:rPr>
        <w:t>interpretación</w:t>
      </w:r>
      <w:r w:rsidRPr="00E13DFC">
        <w:rPr>
          <w:rFonts w:ascii="Arial" w:hAnsi="Arial" w:cs="Arial"/>
          <w:i/>
          <w:iCs/>
          <w:sz w:val="24"/>
          <w:szCs w:val="24"/>
        </w:rPr>
        <w:t xml:space="preserve"> de las regulaciones políticas diseñadas por la </w:t>
      </w:r>
      <w:r w:rsidRPr="00E13DFC">
        <w:rPr>
          <w:rFonts w:ascii="Arial" w:hAnsi="Arial" w:cs="Arial"/>
          <w:b/>
          <w:i/>
          <w:iCs/>
          <w:sz w:val="24"/>
          <w:szCs w:val="24"/>
        </w:rPr>
        <w:t>agencia</w:t>
      </w:r>
      <w:r w:rsidRPr="00E13DFC">
        <w:rPr>
          <w:rFonts w:ascii="Arial" w:hAnsi="Arial" w:cs="Arial"/>
          <w:i/>
          <w:iCs/>
          <w:sz w:val="24"/>
          <w:szCs w:val="24"/>
        </w:rPr>
        <w:t xml:space="preserve"> para una industria o </w:t>
      </w:r>
      <w:r w:rsidRPr="00E13DFC">
        <w:rPr>
          <w:rFonts w:ascii="Arial" w:hAnsi="Arial" w:cs="Arial"/>
          <w:b/>
          <w:i/>
          <w:iCs/>
          <w:sz w:val="24"/>
          <w:szCs w:val="24"/>
        </w:rPr>
        <w:t>mercado</w:t>
      </w:r>
      <w:r w:rsidRPr="00E13DFC">
        <w:rPr>
          <w:rFonts w:ascii="Arial" w:hAnsi="Arial" w:cs="Arial"/>
          <w:i/>
          <w:iCs/>
          <w:sz w:val="24"/>
          <w:szCs w:val="24"/>
        </w:rPr>
        <w:t xml:space="preserve"> </w:t>
      </w:r>
      <w:r w:rsidRPr="00E13DFC">
        <w:rPr>
          <w:rFonts w:ascii="Arial" w:hAnsi="Arial" w:cs="Arial"/>
          <w:b/>
          <w:i/>
          <w:iCs/>
          <w:sz w:val="24"/>
          <w:szCs w:val="24"/>
        </w:rPr>
        <w:t>particular</w:t>
      </w:r>
      <w:r w:rsidRPr="00E13DFC">
        <w:rPr>
          <w:rFonts w:ascii="Arial" w:hAnsi="Arial" w:cs="Arial"/>
          <w:i/>
          <w:iCs/>
          <w:sz w:val="24"/>
          <w:szCs w:val="24"/>
        </w:rPr>
        <w:t>, en vez de librarla a los criterios heterogéneos o aun contradictorios que podrían resultar de las decisiones de jueces de primera instancia</w:t>
      </w:r>
      <w:r>
        <w:rPr>
          <w:rFonts w:ascii="Arial" w:hAnsi="Arial" w:cs="Arial"/>
          <w:i/>
          <w:iCs/>
          <w:sz w:val="24"/>
          <w:szCs w:val="24"/>
        </w:rPr>
        <w:t xml:space="preserve"> (…)”</w:t>
      </w:r>
    </w:p>
    <w:p w:rsidR="00601100" w:rsidRDefault="00601100" w:rsidP="00601100">
      <w:pPr>
        <w:ind w:firstLine="1134"/>
        <w:jc w:val="both"/>
        <w:rPr>
          <w:rFonts w:ascii="Arial" w:hAnsi="Arial" w:cs="Arial"/>
          <w:i/>
          <w:iCs/>
          <w:sz w:val="24"/>
          <w:szCs w:val="24"/>
        </w:rPr>
      </w:pPr>
    </w:p>
    <w:p w:rsidR="00601100" w:rsidRPr="00F94AE2" w:rsidRDefault="00601100" w:rsidP="00601100">
      <w:pPr>
        <w:ind w:firstLine="1134"/>
        <w:jc w:val="both"/>
        <w:rPr>
          <w:rFonts w:ascii="Arial" w:hAnsi="Arial" w:cs="Arial"/>
          <w:iCs/>
          <w:sz w:val="24"/>
          <w:szCs w:val="24"/>
          <w:lang w:val="es-MX"/>
        </w:rPr>
      </w:pPr>
      <w:r w:rsidRPr="00F94AE2">
        <w:rPr>
          <w:rFonts w:ascii="Arial" w:hAnsi="Arial" w:cs="Arial"/>
          <w:iCs/>
          <w:sz w:val="24"/>
          <w:szCs w:val="24"/>
        </w:rPr>
        <w:t>Esto es, torcer en los hechos, lo que prohíbe nuestro texto constitucional: la confusión que marcamos en el arranque.</w:t>
      </w:r>
      <w:r w:rsidRPr="00F94AE2">
        <w:rPr>
          <w:rFonts w:ascii="Arial" w:hAnsi="Arial" w:cs="Arial"/>
          <w:iCs/>
          <w:sz w:val="24"/>
          <w:szCs w:val="24"/>
          <w:lang w:val="es-MX"/>
        </w:rPr>
        <w:t xml:space="preserve"> </w:t>
      </w:r>
    </w:p>
    <w:p w:rsidR="00601100" w:rsidRPr="00F94AE2" w:rsidRDefault="00601100" w:rsidP="00601100">
      <w:pPr>
        <w:ind w:firstLine="1134"/>
        <w:jc w:val="both"/>
        <w:rPr>
          <w:rFonts w:ascii="Arial" w:hAnsi="Arial" w:cs="Arial"/>
          <w:iCs/>
          <w:sz w:val="24"/>
          <w:szCs w:val="24"/>
          <w:lang w:val="es-MX"/>
        </w:rPr>
      </w:pPr>
    </w:p>
    <w:p w:rsidR="00601100" w:rsidRPr="00F94AE2" w:rsidRDefault="00601100" w:rsidP="00601100">
      <w:pPr>
        <w:ind w:firstLine="1134"/>
        <w:jc w:val="both"/>
        <w:rPr>
          <w:rFonts w:ascii="Arial" w:hAnsi="Arial" w:cs="Arial"/>
          <w:iCs/>
          <w:sz w:val="24"/>
          <w:szCs w:val="24"/>
          <w:lang w:val="es-MX"/>
        </w:rPr>
      </w:pPr>
      <w:r w:rsidRPr="00F94AE2">
        <w:rPr>
          <w:rFonts w:ascii="Arial" w:hAnsi="Arial" w:cs="Arial"/>
          <w:iCs/>
          <w:sz w:val="24"/>
          <w:szCs w:val="24"/>
          <w:lang w:val="es-MX"/>
        </w:rPr>
        <w:t>Es decir, un desplazamiento del derecho de fondo constitucional (juez natural art. 18 CN), por una norma de forma, de niveles inferiores, es decir la ley 27.348, que pretende avanzar con el sistema de agencias, en una hipótesis no habilitada por el sistema jurídico autóctono.</w:t>
      </w:r>
    </w:p>
    <w:p w:rsidR="00601100" w:rsidRPr="00F94AE2" w:rsidRDefault="00601100" w:rsidP="00601100">
      <w:pPr>
        <w:ind w:firstLine="1134"/>
        <w:jc w:val="both"/>
        <w:rPr>
          <w:rFonts w:ascii="Arial" w:hAnsi="Arial" w:cs="Arial"/>
          <w:iCs/>
          <w:sz w:val="24"/>
          <w:szCs w:val="24"/>
          <w:lang w:val="es-MX"/>
        </w:rPr>
      </w:pPr>
    </w:p>
    <w:p w:rsidR="00601100" w:rsidRPr="00F94AE2" w:rsidRDefault="00601100" w:rsidP="00601100">
      <w:pPr>
        <w:ind w:firstLine="1134"/>
        <w:jc w:val="both"/>
        <w:rPr>
          <w:rFonts w:ascii="Arial" w:hAnsi="Arial" w:cs="Arial"/>
          <w:iCs/>
          <w:sz w:val="24"/>
          <w:szCs w:val="24"/>
        </w:rPr>
      </w:pPr>
      <w:r w:rsidRPr="00F94AE2">
        <w:rPr>
          <w:rFonts w:ascii="Arial" w:hAnsi="Arial" w:cs="Arial"/>
          <w:iCs/>
          <w:sz w:val="24"/>
          <w:szCs w:val="24"/>
        </w:rPr>
        <w:t>En consecuencia</w:t>
      </w:r>
      <w:r w:rsidRPr="00F94AE2">
        <w:rPr>
          <w:rFonts w:ascii="Arial" w:hAnsi="Arial" w:cs="Arial"/>
          <w:iCs/>
          <w:sz w:val="24"/>
          <w:szCs w:val="24"/>
          <w:lang w:val="es-MX"/>
        </w:rPr>
        <w:t>, se trata de un esquema violatorio del derecho de defensa en juicio con un juez independiente, que es el único que “conoce el derecho”, encargado obligatoriamente del control de constitucionalidad y no vinculado por decisiones de otros organismos.</w:t>
      </w:r>
      <w:r w:rsidRPr="00F94AE2">
        <w:rPr>
          <w:rFonts w:ascii="Arial" w:hAnsi="Arial" w:cs="Arial"/>
          <w:iCs/>
          <w:sz w:val="24"/>
          <w:szCs w:val="24"/>
        </w:rPr>
        <w:t xml:space="preserve"> </w:t>
      </w:r>
    </w:p>
    <w:p w:rsidR="00601100" w:rsidRPr="005A6E6C" w:rsidRDefault="00601100" w:rsidP="00601100">
      <w:pPr>
        <w:jc w:val="both"/>
        <w:rPr>
          <w:rFonts w:ascii="Arial" w:hAnsi="Arial" w:cs="Arial"/>
          <w:b/>
          <w:iCs/>
          <w:sz w:val="24"/>
          <w:szCs w:val="24"/>
          <w:u w:val="single"/>
          <w:lang w:val="es-MX"/>
        </w:rPr>
      </w:pPr>
    </w:p>
    <w:p w:rsidR="00601100" w:rsidRDefault="00601100" w:rsidP="00601100">
      <w:pPr>
        <w:ind w:firstLine="1134"/>
        <w:jc w:val="both"/>
        <w:rPr>
          <w:rFonts w:ascii="Arial" w:hAnsi="Arial"/>
          <w:iCs/>
          <w:sz w:val="24"/>
        </w:rPr>
      </w:pPr>
      <w:r w:rsidRPr="00462819">
        <w:rPr>
          <w:rFonts w:ascii="Arial" w:hAnsi="Arial" w:cs="Arial"/>
          <w:iCs/>
          <w:sz w:val="24"/>
          <w:szCs w:val="24"/>
          <w:lang w:val="es-MX"/>
        </w:rPr>
        <w:t xml:space="preserve">Encuentro, de tal suerte, </w:t>
      </w:r>
      <w:r w:rsidRPr="00462819">
        <w:rPr>
          <w:rFonts w:ascii="Arial" w:hAnsi="Arial"/>
          <w:iCs/>
          <w:sz w:val="24"/>
          <w:lang w:val="es-MX"/>
        </w:rPr>
        <w:t xml:space="preserve">inconstitucional el procedimiento administrativo obligatorio ante las CCMM, instituido en los artículos </w:t>
      </w:r>
      <w:r w:rsidRPr="00462819">
        <w:rPr>
          <w:rFonts w:ascii="Arial" w:hAnsi="Arial"/>
          <w:iCs/>
          <w:sz w:val="24"/>
        </w:rPr>
        <w:t xml:space="preserve">1, 2, 3, 14 y 15, y </w:t>
      </w:r>
      <w:proofErr w:type="spellStart"/>
      <w:r w:rsidRPr="00462819">
        <w:rPr>
          <w:rFonts w:ascii="Arial" w:hAnsi="Arial"/>
          <w:iCs/>
          <w:sz w:val="24"/>
        </w:rPr>
        <w:t>cctes</w:t>
      </w:r>
      <w:proofErr w:type="spellEnd"/>
      <w:r w:rsidRPr="00462819">
        <w:rPr>
          <w:rFonts w:ascii="Arial" w:hAnsi="Arial"/>
          <w:iCs/>
          <w:sz w:val="24"/>
        </w:rPr>
        <w:t xml:space="preserve">. de la Ley 27.348, por considerarlos violatorios de los artículos 18, 29, 109, 116, y por el 75 </w:t>
      </w:r>
      <w:proofErr w:type="spellStart"/>
      <w:r w:rsidRPr="00462819">
        <w:rPr>
          <w:rFonts w:ascii="Arial" w:hAnsi="Arial"/>
          <w:iCs/>
          <w:sz w:val="24"/>
        </w:rPr>
        <w:t>inc</w:t>
      </w:r>
      <w:proofErr w:type="spellEnd"/>
      <w:r w:rsidRPr="00462819">
        <w:rPr>
          <w:rFonts w:ascii="Arial" w:hAnsi="Arial"/>
          <w:iCs/>
          <w:sz w:val="24"/>
        </w:rPr>
        <w:t xml:space="preserve"> 22 - Principio de Progresividad incorporado constitucionalmente, en los incisos 19, 23 y 22 del artículo 75; en el P.I.D.E.S.C. -arts. 5.2 y 2.1-; en la Convención Americana sobre Derechos Humanos -art. 26-; y el Protocolo de San Salvador Adicional a la  Convención Americana -art. 1º- y, garantías judiciales de los arts. 8 y 10 </w:t>
      </w:r>
      <w:r w:rsidRPr="00462819">
        <w:rPr>
          <w:rFonts w:ascii="Arial" w:hAnsi="Arial"/>
          <w:iCs/>
          <w:sz w:val="24"/>
        </w:rPr>
        <w:lastRenderedPageBreak/>
        <w:t xml:space="preserve">de la Declaración Universal de Derechos Humanos, art. 2.3 del </w:t>
      </w:r>
      <w:r w:rsidRPr="00462819">
        <w:rPr>
          <w:rFonts w:ascii="Arial" w:hAnsi="Arial"/>
          <w:iCs/>
          <w:sz w:val="24"/>
          <w:lang w:val="es-AR"/>
        </w:rPr>
        <w:t xml:space="preserve">PIDESC, arts. 26 y 27 de la </w:t>
      </w:r>
      <w:r w:rsidRPr="00462819">
        <w:rPr>
          <w:rFonts w:ascii="Arial" w:hAnsi="Arial"/>
          <w:iCs/>
          <w:sz w:val="24"/>
        </w:rPr>
        <w:t>Declaración Americana de los Derechos y Deberes del Hombre, y art. 8.1de la Convención Americana de Derechos Humanos- de la CN.</w:t>
      </w:r>
    </w:p>
    <w:p w:rsidR="00002FF4" w:rsidRPr="00462819" w:rsidRDefault="00002FF4" w:rsidP="00601100">
      <w:pPr>
        <w:ind w:firstLine="1134"/>
        <w:jc w:val="both"/>
        <w:rPr>
          <w:rFonts w:ascii="Arial" w:hAnsi="Arial"/>
          <w:iCs/>
          <w:sz w:val="24"/>
        </w:rPr>
      </w:pPr>
    </w:p>
    <w:p w:rsidR="00601100" w:rsidRDefault="00601100" w:rsidP="00601100">
      <w:pPr>
        <w:ind w:firstLine="1134"/>
        <w:jc w:val="both"/>
        <w:rPr>
          <w:rFonts w:ascii="Arial" w:hAnsi="Arial"/>
          <w:iCs/>
          <w:sz w:val="24"/>
        </w:rPr>
      </w:pPr>
      <w:r w:rsidRPr="00462819">
        <w:rPr>
          <w:rFonts w:ascii="Arial" w:hAnsi="Arial"/>
          <w:iCs/>
          <w:sz w:val="24"/>
        </w:rPr>
        <w:t xml:space="preserve">Sin costas, ante la falta de contradictorio. </w:t>
      </w:r>
    </w:p>
    <w:p w:rsidR="00002FF4" w:rsidRPr="00462819" w:rsidRDefault="00002FF4" w:rsidP="00601100">
      <w:pPr>
        <w:ind w:firstLine="1134"/>
        <w:jc w:val="both"/>
        <w:rPr>
          <w:rFonts w:ascii="Arial" w:hAnsi="Arial"/>
          <w:iCs/>
          <w:sz w:val="24"/>
        </w:rPr>
      </w:pPr>
    </w:p>
    <w:p w:rsidR="00A50E21" w:rsidRDefault="00601100" w:rsidP="00A50E21">
      <w:pPr>
        <w:ind w:firstLine="1134"/>
        <w:jc w:val="both"/>
        <w:rPr>
          <w:rFonts w:ascii="Arial" w:hAnsi="Arial" w:cs="Arial"/>
          <w:b/>
          <w:sz w:val="24"/>
          <w:szCs w:val="24"/>
        </w:rPr>
      </w:pPr>
      <w:r w:rsidRPr="00462819">
        <w:rPr>
          <w:rFonts w:ascii="Arial" w:hAnsi="Arial"/>
          <w:iCs/>
          <w:sz w:val="24"/>
          <w:lang w:val="es-MX"/>
        </w:rPr>
        <w:t xml:space="preserve">Por lo expuesto resuelvo; I-Revocar el fallo de la primera instancia, II- Declarar la inconstitucionalidad de los artículos </w:t>
      </w:r>
      <w:r w:rsidRPr="00462819">
        <w:rPr>
          <w:rFonts w:ascii="Arial" w:hAnsi="Arial"/>
          <w:iCs/>
          <w:sz w:val="24"/>
        </w:rPr>
        <w:t xml:space="preserve">1, 2, 3, 14 y 15, y </w:t>
      </w:r>
      <w:proofErr w:type="spellStart"/>
      <w:r w:rsidRPr="00462819">
        <w:rPr>
          <w:rFonts w:ascii="Arial" w:hAnsi="Arial"/>
          <w:iCs/>
          <w:sz w:val="24"/>
        </w:rPr>
        <w:t>cctes</w:t>
      </w:r>
      <w:proofErr w:type="spellEnd"/>
      <w:r w:rsidRPr="00462819">
        <w:rPr>
          <w:rFonts w:ascii="Arial" w:hAnsi="Arial"/>
          <w:iCs/>
          <w:sz w:val="24"/>
        </w:rPr>
        <w:t xml:space="preserve"> de la Ley 27.348 III- S</w:t>
      </w:r>
      <w:r w:rsidRPr="00462819">
        <w:rPr>
          <w:rFonts w:ascii="Arial" w:hAnsi="Arial" w:cs="Arial"/>
          <w:iCs/>
          <w:sz w:val="24"/>
          <w:szCs w:val="24"/>
          <w:lang w:val="es-MX"/>
        </w:rPr>
        <w:t>in costas, ante la falta de contradictorio.</w:t>
      </w:r>
      <w:r w:rsidR="00A50E21" w:rsidRPr="00A50E21">
        <w:rPr>
          <w:rFonts w:ascii="Arial" w:hAnsi="Arial" w:cs="Arial"/>
          <w:b/>
          <w:sz w:val="24"/>
          <w:szCs w:val="24"/>
        </w:rPr>
        <w:t xml:space="preserve"> </w:t>
      </w:r>
    </w:p>
    <w:p w:rsidR="00A50E21" w:rsidRDefault="00A50E21" w:rsidP="00A50E21">
      <w:pPr>
        <w:ind w:firstLine="1134"/>
        <w:jc w:val="both"/>
        <w:rPr>
          <w:rFonts w:ascii="Arial" w:hAnsi="Arial" w:cs="Arial"/>
          <w:b/>
          <w:sz w:val="24"/>
          <w:szCs w:val="24"/>
        </w:rPr>
      </w:pPr>
    </w:p>
    <w:p w:rsidR="00A50E21" w:rsidRDefault="00A50E21" w:rsidP="00A50E21">
      <w:pPr>
        <w:ind w:firstLine="1134"/>
        <w:jc w:val="both"/>
        <w:rPr>
          <w:rFonts w:ascii="Arial" w:hAnsi="Arial" w:cs="Arial"/>
          <w:b/>
          <w:sz w:val="24"/>
          <w:szCs w:val="24"/>
        </w:rPr>
      </w:pPr>
    </w:p>
    <w:p w:rsidR="00A50E21" w:rsidRDefault="00785C42" w:rsidP="00785C42">
      <w:pPr>
        <w:jc w:val="both"/>
        <w:rPr>
          <w:rFonts w:ascii="Arial" w:hAnsi="Arial" w:cs="Arial"/>
          <w:b/>
          <w:sz w:val="24"/>
          <w:szCs w:val="24"/>
          <w:u w:val="single"/>
        </w:rPr>
      </w:pPr>
      <w:r w:rsidRPr="00785C42">
        <w:rPr>
          <w:rFonts w:ascii="Arial" w:hAnsi="Arial" w:cs="Arial"/>
          <w:b/>
          <w:sz w:val="24"/>
          <w:szCs w:val="24"/>
          <w:u w:val="single"/>
        </w:rPr>
        <w:t xml:space="preserve">El Dr. </w:t>
      </w:r>
      <w:r w:rsidR="0001705E">
        <w:rPr>
          <w:rFonts w:ascii="Arial" w:hAnsi="Arial" w:cs="Arial"/>
          <w:b/>
          <w:sz w:val="24"/>
          <w:szCs w:val="24"/>
          <w:u w:val="single"/>
        </w:rPr>
        <w:t xml:space="preserve">Alejandro Hugo </w:t>
      </w:r>
      <w:proofErr w:type="spellStart"/>
      <w:r w:rsidR="00D5164D">
        <w:rPr>
          <w:rFonts w:ascii="Arial" w:hAnsi="Arial" w:cs="Arial"/>
          <w:b/>
          <w:sz w:val="24"/>
          <w:szCs w:val="24"/>
          <w:u w:val="single"/>
        </w:rPr>
        <w:t>Perugini</w:t>
      </w:r>
      <w:proofErr w:type="spellEnd"/>
      <w:r w:rsidRPr="00785C42">
        <w:rPr>
          <w:rFonts w:ascii="Arial" w:hAnsi="Arial" w:cs="Arial"/>
          <w:b/>
          <w:sz w:val="24"/>
          <w:szCs w:val="24"/>
          <w:u w:val="single"/>
        </w:rPr>
        <w:t xml:space="preserve"> dijo:</w:t>
      </w:r>
    </w:p>
    <w:p w:rsidR="00950EAF" w:rsidRDefault="00950EAF" w:rsidP="00785C42">
      <w:pPr>
        <w:jc w:val="both"/>
        <w:rPr>
          <w:rFonts w:ascii="Arial" w:hAnsi="Arial" w:cs="Arial"/>
          <w:b/>
          <w:sz w:val="24"/>
          <w:szCs w:val="24"/>
          <w:u w:val="single"/>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El Sr. Juez de la anterior instancia,   previa desestimación de las impugnaciones formuladas contra la constitucionalidad del régimen procesal establecido por la ley 27.348, resolvió ordenar el archivo de la causa, y hacer saber a la parte actora que debía agotar la vía administrativa delineada por dicha ley, y recurrida la resolución,  naturalmente,    por la parte actora,    es mi criterio,   punto en el que he de disentir con el voto de mi colega preopinante,  que corresponde confirmar lo resuelto.  </w:t>
      </w:r>
    </w:p>
    <w:p w:rsidR="00667AAD" w:rsidRPr="00950EAF" w:rsidRDefault="00667AAD" w:rsidP="00950EAF">
      <w:pPr>
        <w:ind w:firstLine="1134"/>
        <w:jc w:val="both"/>
        <w:rPr>
          <w:rFonts w:ascii="Arial" w:hAnsi="Arial" w:cs="Arial"/>
          <w:sz w:val="24"/>
          <w:lang w:eastAsia="es-ES"/>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Pará así decidirlo cabe descartar,  en primer término,  la eventual inaplicabilidad de la ley cuestionada en razón de la fecha en la que habrían tenido lugar los hechos objeto de juzgamiento.   En este sentido,   el principio general es el que ha señalado la Corte Suprema de Justicia de la Nación en el fallo “Urquiza Juan Carlos c/ Provincia ART S.A. s/ daños y perjuicios” del 11 de diciembre de 2014,   en el cual,  al adherir al dictamen al dictamen del Sr. Procurador Fiscal Subrogante,    se ha destacado que las leyes modificatorias de la  jurisdicción y competencia, aun en caso de silencio, se aplican de inmediato a las causas pendientes, sin que pueda argumentarse un derecho adquirido a ser juzgado por un determinado sistema adjetivo, pues las normas sobre procedimiento y jurisdicción son de orden público, circunstancia que resulta compatible con la garantía del artículo 18 de la Carta Magna, siempre que no se prive de validez a los actos procesales cumplidos ni se deje sin efecto lo actuado de conformidad con las leyes anteriores (Fallos: 329:5586; entre otros).</w:t>
      </w:r>
    </w:p>
    <w:p w:rsidR="00667AAD" w:rsidRPr="00950EAF" w:rsidRDefault="00667AAD" w:rsidP="00950EAF">
      <w:pPr>
        <w:ind w:firstLine="1134"/>
        <w:jc w:val="both"/>
        <w:rPr>
          <w:rFonts w:ascii="Arial" w:hAnsi="Arial" w:cs="Arial"/>
          <w:sz w:val="24"/>
          <w:lang w:eastAsia="es-ES"/>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De este modo, y en la medida en que la demanda que da inicio al presente proceso ha sido interpuesta con posterioridad a la vigencia de la ley 27.348,   corresponde concluir que las condiciones de habilitación de la instancia han de ser juzgadas por las previsiones contenidas en el referido cuerpo legal. </w:t>
      </w:r>
    </w:p>
    <w:p w:rsidR="00667AAD" w:rsidRPr="00950EAF" w:rsidRDefault="00667AAD" w:rsidP="00950EAF">
      <w:pPr>
        <w:ind w:firstLine="1134"/>
        <w:jc w:val="both"/>
        <w:rPr>
          <w:rFonts w:ascii="Arial" w:hAnsi="Arial" w:cs="Arial"/>
          <w:sz w:val="24"/>
          <w:lang w:eastAsia="es-ES"/>
        </w:rPr>
      </w:pPr>
    </w:p>
    <w:p w:rsidR="00667AAD"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Ello establecido,   señalo que, está fuera de toda discusión que,  en el Régimen Republicano sustentado en la separación poderes que quedara establecido en la Constitución Nacional Argentina,  “En ningún caso el presidente de la Nación puede ejercer funciones judiciales, arrogarse el conocimiento de causas pendientes o restablecer las fenecidas” (art.109),  lo cual,  al decir de </w:t>
      </w:r>
      <w:proofErr w:type="spellStart"/>
      <w:r w:rsidRPr="00950EAF">
        <w:rPr>
          <w:rFonts w:ascii="Arial" w:hAnsi="Arial" w:cs="Arial"/>
          <w:sz w:val="24"/>
          <w:lang w:eastAsia="es-ES"/>
        </w:rPr>
        <w:t>Cassagne</w:t>
      </w:r>
      <w:proofErr w:type="spellEnd"/>
      <w:r w:rsidRPr="00950EAF">
        <w:rPr>
          <w:rFonts w:ascii="Arial" w:hAnsi="Arial" w:cs="Arial"/>
          <w:sz w:val="24"/>
          <w:lang w:eastAsia="es-ES"/>
        </w:rPr>
        <w:t xml:space="preserve">,   configura  uno de los grandes preceptos básicos del derecho constitucional iberoamericano que constituye la base de nuestros sistemas </w:t>
      </w:r>
      <w:proofErr w:type="spellStart"/>
      <w:r w:rsidRPr="00950EAF">
        <w:rPr>
          <w:rFonts w:ascii="Arial" w:hAnsi="Arial" w:cs="Arial"/>
          <w:sz w:val="24"/>
          <w:lang w:eastAsia="es-ES"/>
        </w:rPr>
        <w:t>judicialistas</w:t>
      </w:r>
      <w:proofErr w:type="spellEnd"/>
      <w:r w:rsidRPr="00950EAF">
        <w:rPr>
          <w:rFonts w:ascii="Arial" w:hAnsi="Arial" w:cs="Arial"/>
          <w:sz w:val="24"/>
          <w:lang w:eastAsia="es-ES"/>
        </w:rPr>
        <w:t>,   prescribiéndose el principio del “juez natural”, esto es que “nadie pueda ser juzgado por comisiones especiales, sino por el tribunal establecido con anterioridad a la ley”, principio éste que ha sido la fuente indubitable del art. 18 de l</w:t>
      </w:r>
      <w:r>
        <w:rPr>
          <w:rFonts w:ascii="Arial" w:hAnsi="Arial" w:cs="Arial"/>
          <w:sz w:val="24"/>
          <w:lang w:eastAsia="es-ES"/>
        </w:rPr>
        <w:t xml:space="preserve">a Ley Fundamental Argentina. </w:t>
      </w:r>
      <w:r w:rsidRPr="00950EAF">
        <w:rPr>
          <w:rFonts w:ascii="Arial" w:hAnsi="Arial" w:cs="Arial"/>
          <w:sz w:val="24"/>
          <w:lang w:eastAsia="es-ES"/>
        </w:rPr>
        <w:t>(</w:t>
      </w:r>
      <w:proofErr w:type="spellStart"/>
      <w:r w:rsidRPr="00950EAF">
        <w:rPr>
          <w:rFonts w:ascii="Arial" w:hAnsi="Arial" w:cs="Arial"/>
          <w:sz w:val="24"/>
          <w:lang w:eastAsia="es-ES"/>
        </w:rPr>
        <w:t>Cassagne</w:t>
      </w:r>
      <w:proofErr w:type="spellEnd"/>
      <w:r w:rsidRPr="00950EAF">
        <w:rPr>
          <w:rFonts w:ascii="Arial" w:hAnsi="Arial" w:cs="Arial"/>
          <w:sz w:val="24"/>
          <w:lang w:eastAsia="es-ES"/>
        </w:rPr>
        <w:t xml:space="preserve"> Juan Carlos, “Las Facultades </w:t>
      </w:r>
      <w:r w:rsidRPr="00950EAF">
        <w:rPr>
          <w:rFonts w:ascii="Arial" w:hAnsi="Arial" w:cs="Arial"/>
          <w:sz w:val="24"/>
          <w:lang w:eastAsia="es-ES"/>
        </w:rPr>
        <w:lastRenderedPageBreak/>
        <w:t xml:space="preserve">Jurisdiccionales de los Entes Reguladores (a propósito del casi “Ángel Estrada”), La Ley, 09/06/2005, </w:t>
      </w:r>
      <w:proofErr w:type="spellStart"/>
      <w:r w:rsidRPr="00950EAF">
        <w:rPr>
          <w:rFonts w:ascii="Arial" w:hAnsi="Arial" w:cs="Arial"/>
          <w:sz w:val="24"/>
          <w:lang w:eastAsia="es-ES"/>
        </w:rPr>
        <w:t>ps</w:t>
      </w:r>
      <w:proofErr w:type="spellEnd"/>
      <w:r w:rsidRPr="00950EAF">
        <w:rPr>
          <w:rFonts w:ascii="Arial" w:hAnsi="Arial" w:cs="Arial"/>
          <w:sz w:val="24"/>
          <w:lang w:eastAsia="es-ES"/>
        </w:rPr>
        <w:t xml:space="preserve">. 1-3, nota a Fallo CSJN “Ángel Estrada y </w:t>
      </w:r>
      <w:proofErr w:type="spellStart"/>
      <w:r w:rsidRPr="00950EAF">
        <w:rPr>
          <w:rFonts w:ascii="Arial" w:hAnsi="Arial" w:cs="Arial"/>
          <w:sz w:val="24"/>
          <w:lang w:eastAsia="es-ES"/>
        </w:rPr>
        <w:t>Cía</w:t>
      </w:r>
      <w:proofErr w:type="spellEnd"/>
      <w:r w:rsidRPr="00950EAF">
        <w:rPr>
          <w:rFonts w:ascii="Arial" w:hAnsi="Arial" w:cs="Arial"/>
          <w:sz w:val="24"/>
          <w:lang w:eastAsia="es-ES"/>
        </w:rPr>
        <w:t xml:space="preserve"> c/ Resolución 71/96 Secretaría de Energía y Puertos”, de fecha 05/04/2005  publicado en la Página Web del autor). </w:t>
      </w:r>
    </w:p>
    <w:p w:rsidR="00950EAF" w:rsidRP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 </w:t>
      </w:r>
    </w:p>
    <w:p w:rsidR="00667AAD"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Sin embargo,  dentro del marco de respeto por tal  precepto del orden constitucional,     hace largo tiempo ya que la Corte Suprema de Justicia de la Nación ha señalado que el  reconocimiento de facultades jurisdiccionales a órganos administrativos es uno de los aspectos que, en mayor grado, atribuyen fisonomía relativamente nueva al principio de división de poderes,  es una modalidad típica del derecho público actual y constituye uno de los modos universales de responder, pragmáticamente, al premioso reclamo de los hechos que componen la realidad de este tiempo, siendo válida y constitucional en la medida en que la decisión emanada de tales órganos quede sujeta a control judicial suficiente (CSJN Fallos 247:646 “Fernández Arias c/ </w:t>
      </w:r>
      <w:proofErr w:type="spellStart"/>
      <w:r w:rsidRPr="00950EAF">
        <w:rPr>
          <w:rFonts w:ascii="Arial" w:hAnsi="Arial" w:cs="Arial"/>
          <w:sz w:val="24"/>
          <w:lang w:eastAsia="es-ES"/>
        </w:rPr>
        <w:t>Poggio</w:t>
      </w:r>
      <w:proofErr w:type="spellEnd"/>
      <w:r w:rsidRPr="00950EAF">
        <w:rPr>
          <w:rFonts w:ascii="Arial" w:hAnsi="Arial" w:cs="Arial"/>
          <w:sz w:val="24"/>
          <w:lang w:eastAsia="es-ES"/>
        </w:rPr>
        <w:t xml:space="preserve"> (sucesión) del 19/9/60),   Ya en tiempos más recientes,  el mismo Tribunal estableció  perfiles precisos para el ejercicio de  esta  llamada “jurisdicción primaria” (concepto utilizado por el Máximo Tribunal que la propia Corte reconoce tomar del derecho de E.E.U.U.),  destacando que “Tales principios constitucionales -refiere a la división de poderes plasmada en nuestro orden jurídico-  quedan a salvo siempre y cuando los organismos de la administración dotados de jurisdicción para resolver conflictos entre particulares hayan sido creados por ley, su independencia e imparcialidad estén aseguradas, el objetivo económico y político tenido en cuenta por el legislador para crearlos (y restringir así la jurisdicción que la Constitución Nacional atribuye a la justicia ordinaria) haya sido razonable y, además, sus decisiones estén sujetas a control judicial amplio y suficiente”  (CSJN,   “</w:t>
      </w:r>
      <w:proofErr w:type="spellStart"/>
      <w:r w:rsidRPr="00950EAF">
        <w:rPr>
          <w:rFonts w:ascii="Arial" w:hAnsi="Arial" w:cs="Arial"/>
          <w:sz w:val="24"/>
          <w:lang w:eastAsia="es-ES"/>
        </w:rPr>
        <w:t>Angel</w:t>
      </w:r>
      <w:proofErr w:type="spellEnd"/>
      <w:r w:rsidRPr="00950EAF">
        <w:rPr>
          <w:rFonts w:ascii="Arial" w:hAnsi="Arial" w:cs="Arial"/>
          <w:sz w:val="24"/>
          <w:lang w:eastAsia="es-ES"/>
        </w:rPr>
        <w:t xml:space="preserve"> Estrada y Cía. S.A.  c/ resol. 71/96 - Sec. </w:t>
      </w:r>
      <w:proofErr w:type="spellStart"/>
      <w:r w:rsidRPr="00950EAF">
        <w:rPr>
          <w:rFonts w:ascii="Arial" w:hAnsi="Arial" w:cs="Arial"/>
          <w:sz w:val="24"/>
          <w:lang w:eastAsia="es-ES"/>
        </w:rPr>
        <w:t>Ener</w:t>
      </w:r>
      <w:proofErr w:type="spellEnd"/>
      <w:r w:rsidRPr="00950EAF">
        <w:rPr>
          <w:rFonts w:ascii="Arial" w:hAnsi="Arial" w:cs="Arial"/>
          <w:sz w:val="24"/>
          <w:lang w:eastAsia="es-ES"/>
        </w:rPr>
        <w:t>. y Puertos (</w:t>
      </w:r>
      <w:proofErr w:type="spellStart"/>
      <w:r w:rsidRPr="00950EAF">
        <w:rPr>
          <w:rFonts w:ascii="Arial" w:hAnsi="Arial" w:cs="Arial"/>
          <w:sz w:val="24"/>
          <w:lang w:eastAsia="es-ES"/>
        </w:rPr>
        <w:t>Expte</w:t>
      </w:r>
      <w:proofErr w:type="spellEnd"/>
      <w:r w:rsidRPr="00950EAF">
        <w:rPr>
          <w:rFonts w:ascii="Arial" w:hAnsi="Arial" w:cs="Arial"/>
          <w:sz w:val="24"/>
          <w:lang w:eastAsia="es-ES"/>
        </w:rPr>
        <w:t xml:space="preserve">. N° 750- 002119/96). s/ recurso extraordinario” de fecha 5/4/2005). </w:t>
      </w:r>
    </w:p>
    <w:p w:rsidR="00950EAF" w:rsidRP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 </w:t>
      </w: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En orden a establecer los alcances de tal “permiso”,  no es ocioso recordar que,  en el aludido precedente,  el Tribunal Superior  circunscribió la  validez de la intervención de organismos administrativos “a las materias que configuran "el corazón" de las tareas que tuvo en miras el Congreso que las emplazó”,   y que,  en el caso concretó,  en detalle que suele pasarse por alto,  la aplicación de los mencionados principios llevó a concluir que el Ente Nacional Regulador de la Electricidad carecía de  competencia para dirimir el conflicto planteado “con arreglo a los principios contenidos en la legislación común”(afirmación referida al reclamo de  los daños individualmente experimentados en el patrimonio del usuario como consecuencia del suministro insuficiente de energía eléctrica),</w:t>
      </w:r>
      <w:r>
        <w:rPr>
          <w:rFonts w:ascii="Arial" w:hAnsi="Arial" w:cs="Arial"/>
          <w:sz w:val="24"/>
          <w:lang w:eastAsia="es-ES"/>
        </w:rPr>
        <w:t xml:space="preserve"> </w:t>
      </w:r>
      <w:r w:rsidRPr="00950EAF">
        <w:rPr>
          <w:rFonts w:ascii="Arial" w:hAnsi="Arial" w:cs="Arial"/>
          <w:sz w:val="24"/>
          <w:lang w:eastAsia="es-ES"/>
        </w:rPr>
        <w:t xml:space="preserve">pues como fue señalado en el considerando 14 del pronunciamiento  “es relevante añadir que no cualquier controversia puede ser válidamente diferida al conocimiento de órganos administrativos con la mera condición de que sus decisiones queden sujetas a un ulterior control judicial suficiente. Los motivos tenidos en cuenta por el legislador para sustraer la materia de que se trate de la jurisdicción de los jueces ordinarios deben estar razonablemente justificados pues, de lo contrario, la jurisdicción administrativa así creada carecería de sustento constitucional, e importaría un avance indebido sobre las atribuciones que el art. 116 de la Constitución Nacional define como propias y exclusivas del Poder Judicial de la Nación. Admitir que el Congreso pudiera delegar en los órganos de la administración facultades judiciales sin limitación material de ninguna especie sería tan impensable como permitir que el legislador delegara la sustancia de sus propias funciones legislativas, lo cual está expresamente vedado en el art. 76 de la Constitución Nacional, con salvedades expresas”.  </w:t>
      </w:r>
    </w:p>
    <w:p w:rsidR="00667AAD" w:rsidRPr="00950EAF" w:rsidRDefault="00667AAD" w:rsidP="00950EAF">
      <w:pPr>
        <w:ind w:firstLine="1134"/>
        <w:jc w:val="both"/>
        <w:rPr>
          <w:rFonts w:ascii="Arial" w:hAnsi="Arial" w:cs="Arial"/>
          <w:sz w:val="24"/>
          <w:lang w:eastAsia="es-ES"/>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Más allá de los cuestionamientos que pueda merecer la decisión legislativa de conferir a operadores privados la gestión de un sistema de seguro social pensado como una herramienta de la seguridad social y no como una proyección de la responsabilidad civil de orden privado,    refiero obviamente al régimen de la ley 24.557,   no parece que pueda ser legítimamente cuestionada,  y menos ser considerada como una violación al sistema de división de poderes,   la instrumentación de un sistema de orden administrativo  tendiente a un reconocimiento no judicial e inmediato de los derechos que el propio sistema confiere a partir de la objetiva comprobación de encontrarse el damnificado en la condición necesaria para gozarlos,</w:t>
      </w:r>
      <w:r>
        <w:rPr>
          <w:rFonts w:ascii="Arial" w:hAnsi="Arial" w:cs="Arial"/>
          <w:sz w:val="24"/>
          <w:lang w:eastAsia="es-ES"/>
        </w:rPr>
        <w:t xml:space="preserve"> </w:t>
      </w:r>
      <w:r w:rsidRPr="00950EAF">
        <w:rPr>
          <w:rFonts w:ascii="Arial" w:hAnsi="Arial" w:cs="Arial"/>
          <w:sz w:val="24"/>
          <w:lang w:eastAsia="es-ES"/>
        </w:rPr>
        <w:t>aspecto en el que,  es mi criterio,</w:t>
      </w:r>
      <w:r>
        <w:rPr>
          <w:rFonts w:ascii="Arial" w:hAnsi="Arial" w:cs="Arial"/>
          <w:sz w:val="24"/>
          <w:lang w:eastAsia="es-ES"/>
        </w:rPr>
        <w:t xml:space="preserve"> </w:t>
      </w:r>
      <w:r w:rsidRPr="00950EAF">
        <w:rPr>
          <w:rFonts w:ascii="Arial" w:hAnsi="Arial" w:cs="Arial"/>
          <w:sz w:val="24"/>
          <w:lang w:eastAsia="es-ES"/>
        </w:rPr>
        <w:t>el presupuesto de actuación de las comisiones médicas  ha merecido una  excesiva e injustificada  descalificación conceptual,</w:t>
      </w:r>
      <w:r>
        <w:rPr>
          <w:rFonts w:ascii="Arial" w:hAnsi="Arial" w:cs="Arial"/>
          <w:sz w:val="24"/>
          <w:lang w:eastAsia="es-ES"/>
        </w:rPr>
        <w:t xml:space="preserve"> </w:t>
      </w:r>
      <w:r w:rsidRPr="00950EAF">
        <w:rPr>
          <w:rFonts w:ascii="Arial" w:hAnsi="Arial" w:cs="Arial"/>
          <w:sz w:val="24"/>
          <w:lang w:eastAsia="es-ES"/>
        </w:rPr>
        <w:t>pues sin que esto pretenda convalidar las deficiencias que puedan  haberse justificadamente señalado en orden a su fallida  implementación o a su  imparcialidad,   la sola falta de certeza respecto de la existencia de una incapacidad y su eventual relación con la actividad cumplida son,   fundamentalmente,   aspectos de orden técnico asociados a la operatividad del sistema de seguro instaurado,   que no configuran necesaria y apriorísticamente  una “causa”  o “controversia”  que justifique la ineludible intervención de un tribunal del Poder Judicial de la Nación,   el cual es lógico que sea convocado a intervenir cuando,</w:t>
      </w:r>
      <w:r>
        <w:rPr>
          <w:rFonts w:ascii="Arial" w:hAnsi="Arial" w:cs="Arial"/>
          <w:sz w:val="24"/>
          <w:lang w:eastAsia="es-ES"/>
        </w:rPr>
        <w:t xml:space="preserve"> </w:t>
      </w:r>
      <w:r w:rsidRPr="00950EAF">
        <w:rPr>
          <w:rFonts w:ascii="Arial" w:hAnsi="Arial" w:cs="Arial"/>
          <w:sz w:val="24"/>
          <w:lang w:eastAsia="es-ES"/>
        </w:rPr>
        <w:t xml:space="preserve">a partir de la discrepancia con la valoración administrativa,  surja,  precisamente,  el “caso” ,  “causa” o “controversia”  que,   sin duda,   solo puede ser objeto de una decisión jurisdiccional de parte de un tribunal que integre el Poder Judicial de la respectiva jurisdicción. </w:t>
      </w:r>
    </w:p>
    <w:p w:rsidR="00950EAF" w:rsidRPr="00950EAF" w:rsidRDefault="00950EAF" w:rsidP="00950EAF">
      <w:pPr>
        <w:ind w:firstLine="1134"/>
        <w:jc w:val="both"/>
        <w:rPr>
          <w:rFonts w:ascii="Arial" w:hAnsi="Arial" w:cs="Arial"/>
          <w:sz w:val="24"/>
          <w:lang w:eastAsia="es-ES"/>
        </w:rPr>
      </w:pPr>
    </w:p>
    <w:p w:rsidR="00950EAF" w:rsidRPr="00950EAF" w:rsidRDefault="00950EAF" w:rsidP="00950EAF">
      <w:pPr>
        <w:ind w:firstLine="1134"/>
        <w:jc w:val="both"/>
        <w:rPr>
          <w:rFonts w:ascii="Arial" w:hAnsi="Arial" w:cs="Arial"/>
          <w:sz w:val="24"/>
          <w:lang w:val="es-MX" w:eastAsia="es-ES"/>
        </w:rPr>
      </w:pPr>
      <w:r w:rsidRPr="00950EAF">
        <w:rPr>
          <w:rFonts w:ascii="Arial" w:hAnsi="Arial" w:cs="Arial"/>
          <w:sz w:val="24"/>
          <w:lang w:val="es-MX" w:eastAsia="es-ES"/>
        </w:rPr>
        <w:t>Es así que aun cuando pueda compartirse alguna objeción en torno a la  utilización del concep</w:t>
      </w:r>
      <w:r w:rsidR="00A10B9A">
        <w:rPr>
          <w:rFonts w:ascii="Arial" w:hAnsi="Arial" w:cs="Arial"/>
          <w:sz w:val="24"/>
          <w:lang w:val="es-MX" w:eastAsia="es-ES"/>
        </w:rPr>
        <w:t xml:space="preserve">to de “jurisdicción primaria” </w:t>
      </w:r>
      <w:r w:rsidRPr="00950EAF">
        <w:rPr>
          <w:rFonts w:ascii="Arial" w:hAnsi="Arial" w:cs="Arial"/>
          <w:sz w:val="24"/>
          <w:lang w:val="es-MX" w:eastAsia="es-ES"/>
        </w:rPr>
        <w:t xml:space="preserve">en tanto,  como señala Juan C. </w:t>
      </w:r>
      <w:proofErr w:type="spellStart"/>
      <w:r w:rsidRPr="00950EAF">
        <w:rPr>
          <w:rFonts w:ascii="Arial" w:hAnsi="Arial" w:cs="Arial"/>
          <w:sz w:val="24"/>
          <w:lang w:val="es-MX" w:eastAsia="es-ES"/>
        </w:rPr>
        <w:t>Cassagne</w:t>
      </w:r>
      <w:proofErr w:type="spellEnd"/>
      <w:r w:rsidRPr="00950EAF">
        <w:rPr>
          <w:rFonts w:ascii="Arial" w:hAnsi="Arial" w:cs="Arial"/>
          <w:sz w:val="24"/>
          <w:lang w:val="es-MX" w:eastAsia="es-ES"/>
        </w:rPr>
        <w:t xml:space="preserve">, la instancia judicial que la Corte Suprema ha delineado  para nuestro derecho no implica una revisión o jurisdicción secundaria (equivalente a una segunda instancia) sino una revisión plena, con amplitud de debate y prueba  (Ver </w:t>
      </w:r>
      <w:proofErr w:type="spellStart"/>
      <w:r w:rsidRPr="00950EAF">
        <w:rPr>
          <w:rFonts w:ascii="Arial" w:hAnsi="Arial" w:cs="Arial"/>
          <w:sz w:val="24"/>
          <w:lang w:val="es-MX" w:eastAsia="es-ES"/>
        </w:rPr>
        <w:t>Cassagne</w:t>
      </w:r>
      <w:proofErr w:type="spellEnd"/>
      <w:r w:rsidRPr="00950EAF">
        <w:rPr>
          <w:rFonts w:ascii="Arial" w:hAnsi="Arial" w:cs="Arial"/>
          <w:sz w:val="24"/>
          <w:lang w:val="es-MX" w:eastAsia="es-ES"/>
        </w:rPr>
        <w:t xml:space="preserve">,  </w:t>
      </w:r>
      <w:proofErr w:type="spellStart"/>
      <w:r w:rsidRPr="00950EAF">
        <w:rPr>
          <w:rFonts w:ascii="Arial" w:hAnsi="Arial" w:cs="Arial"/>
          <w:sz w:val="24"/>
          <w:lang w:val="es-MX" w:eastAsia="es-ES"/>
        </w:rPr>
        <w:t>op</w:t>
      </w:r>
      <w:proofErr w:type="spellEnd"/>
      <w:r w:rsidRPr="00950EAF">
        <w:rPr>
          <w:rFonts w:ascii="Arial" w:hAnsi="Arial" w:cs="Arial"/>
          <w:sz w:val="24"/>
          <w:lang w:val="es-MX" w:eastAsia="es-ES"/>
        </w:rPr>
        <w:t xml:space="preserve"> cit.),   lo cierto es que  no advierto que se afecte el derecho a la jurisdicción por la sola circunstancia de que quien se considere acreedor a una prestación relacionada con la aplicación de la Ley 24.557  se encuentre obligado a solicitar a un organismo básicamente técnico una evaluación que permita determinar los alcances de su eventual derecho,</w:t>
      </w:r>
      <w:r w:rsidR="00A10B9A">
        <w:rPr>
          <w:rFonts w:ascii="Arial" w:hAnsi="Arial" w:cs="Arial"/>
          <w:sz w:val="24"/>
          <w:lang w:val="es-MX" w:eastAsia="es-ES"/>
        </w:rPr>
        <w:t xml:space="preserve"> </w:t>
      </w:r>
      <w:r w:rsidRPr="00950EAF">
        <w:rPr>
          <w:rFonts w:ascii="Arial" w:hAnsi="Arial" w:cs="Arial"/>
          <w:sz w:val="24"/>
          <w:lang w:val="es-MX" w:eastAsia="es-ES"/>
        </w:rPr>
        <w:t>confiriéndole la posibilidad de una inmediata satisfacción  que mitigue la situación de desampa</w:t>
      </w:r>
      <w:r w:rsidR="00A10B9A">
        <w:rPr>
          <w:rFonts w:ascii="Arial" w:hAnsi="Arial" w:cs="Arial"/>
          <w:sz w:val="24"/>
          <w:lang w:val="es-MX" w:eastAsia="es-ES"/>
        </w:rPr>
        <w:t xml:space="preserve">ro asociada al evento dañoso, </w:t>
      </w:r>
      <w:r w:rsidRPr="00950EAF">
        <w:rPr>
          <w:rFonts w:ascii="Arial" w:hAnsi="Arial" w:cs="Arial"/>
          <w:sz w:val="24"/>
          <w:lang w:val="es-MX" w:eastAsia="es-ES"/>
        </w:rPr>
        <w:t xml:space="preserve">y el acceso a una instancia propiamente jurisdiccional ante los tribunales del Poder Judicial en caso de una eventual discrepancia con lo actuado por aquel. </w:t>
      </w:r>
    </w:p>
    <w:p w:rsidR="00950EAF" w:rsidRPr="00950EAF" w:rsidRDefault="00950EAF" w:rsidP="00950EAF">
      <w:pPr>
        <w:ind w:firstLine="1134"/>
        <w:jc w:val="both"/>
        <w:rPr>
          <w:rFonts w:ascii="Arial" w:hAnsi="Arial" w:cs="Arial"/>
          <w:sz w:val="24"/>
          <w:lang w:val="es-MX" w:eastAsia="es-ES"/>
        </w:rPr>
      </w:pPr>
    </w:p>
    <w:p w:rsidR="00667AAD" w:rsidRDefault="00950EAF" w:rsidP="0014276B">
      <w:pPr>
        <w:ind w:firstLine="1134"/>
        <w:jc w:val="both"/>
        <w:rPr>
          <w:rFonts w:ascii="Arial" w:hAnsi="Arial" w:cs="Arial"/>
          <w:sz w:val="24"/>
          <w:lang w:eastAsia="es-ES"/>
        </w:rPr>
      </w:pPr>
      <w:r w:rsidRPr="00950EAF">
        <w:rPr>
          <w:rFonts w:ascii="Arial" w:hAnsi="Arial" w:cs="Arial"/>
          <w:sz w:val="24"/>
          <w:lang w:eastAsia="es-ES"/>
        </w:rPr>
        <w:t>No soslayo los cuestionamientos que puedan merecer ciertos excesos en los que habría incurrido la Superintendencia de Riesgos de Trabajo al reglamentar el sistema mediante la Resolución 298/2017,   ni el hecho que el concepto de “causalidad”  ha sido considerado una cuestión de orden jurídico que,  como tal,  resultaría ajena a la consideración de un profesional en medicina y privativo de las facultades jurisdiccionales del juez.</w:t>
      </w:r>
    </w:p>
    <w:p w:rsidR="00950EAF" w:rsidRPr="00950EAF" w:rsidRDefault="00950EAF" w:rsidP="00667AAD">
      <w:pPr>
        <w:ind w:firstLine="1134"/>
        <w:jc w:val="both"/>
        <w:rPr>
          <w:rFonts w:ascii="Arial" w:hAnsi="Arial" w:cs="Arial"/>
          <w:sz w:val="24"/>
          <w:lang w:eastAsia="es-ES"/>
        </w:rPr>
      </w:pPr>
      <w:r w:rsidRPr="00950EAF">
        <w:rPr>
          <w:rFonts w:ascii="Arial" w:hAnsi="Arial" w:cs="Arial"/>
          <w:sz w:val="24"/>
          <w:lang w:eastAsia="es-ES"/>
        </w:rPr>
        <w:t>Sin embargo,   el concepto de causalidad no es unívoco y,  en tal sentido, los médicos solo informan sobre ella dentro de las perspectivas y márgenes de la ciencia médica,  en concepto que un juez puede o no tomar como r</w:t>
      </w:r>
      <w:r w:rsidR="00667AAD">
        <w:rPr>
          <w:rFonts w:ascii="Arial" w:hAnsi="Arial" w:cs="Arial"/>
          <w:sz w:val="24"/>
          <w:lang w:eastAsia="es-ES"/>
        </w:rPr>
        <w:t xml:space="preserve">elevante desde lo jurídico, </w:t>
      </w:r>
      <w:r w:rsidRPr="00950EAF">
        <w:rPr>
          <w:rFonts w:ascii="Arial" w:hAnsi="Arial" w:cs="Arial"/>
          <w:sz w:val="24"/>
          <w:lang w:eastAsia="es-ES"/>
        </w:rPr>
        <w:t>y en lo que concierne a los restantes aspectos de la reglamentación,</w:t>
      </w:r>
      <w:r w:rsidR="00667AAD">
        <w:rPr>
          <w:rFonts w:ascii="Arial" w:hAnsi="Arial" w:cs="Arial"/>
          <w:sz w:val="24"/>
          <w:lang w:eastAsia="es-ES"/>
        </w:rPr>
        <w:t xml:space="preserve"> </w:t>
      </w:r>
      <w:r w:rsidRPr="00950EAF">
        <w:rPr>
          <w:rFonts w:ascii="Arial" w:hAnsi="Arial" w:cs="Arial"/>
          <w:sz w:val="24"/>
          <w:lang w:eastAsia="es-ES"/>
        </w:rPr>
        <w:t xml:space="preserve">los magistrados intervinientes cuentan con las facultades suficientes como para conferir al “recurso”  la </w:t>
      </w:r>
      <w:r w:rsidRPr="00950EAF">
        <w:rPr>
          <w:rFonts w:ascii="Arial" w:hAnsi="Arial" w:cs="Arial"/>
          <w:sz w:val="24"/>
          <w:lang w:eastAsia="es-ES"/>
        </w:rPr>
        <w:lastRenderedPageBreak/>
        <w:t>amplitud que resulte necesaria en resguardo de una adecuada defensa del derecho.</w:t>
      </w: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Finalmente,   cabe concluir que aunque es verdad que el procedimiento ante las comisiones médicas instituido desde un primer momento por la ley 24.557,   ha sido descalificado por la Corte Suprema de Justicia de la Nación en los conocidos precedentes “Castillo”,  “</w:t>
      </w:r>
      <w:proofErr w:type="spellStart"/>
      <w:r w:rsidRPr="00950EAF">
        <w:rPr>
          <w:rFonts w:ascii="Arial" w:hAnsi="Arial" w:cs="Arial"/>
          <w:sz w:val="24"/>
          <w:lang w:eastAsia="es-ES"/>
        </w:rPr>
        <w:t>Venialgo</w:t>
      </w:r>
      <w:proofErr w:type="spellEnd"/>
      <w:r w:rsidRPr="00950EAF">
        <w:rPr>
          <w:rFonts w:ascii="Arial" w:hAnsi="Arial" w:cs="Arial"/>
          <w:sz w:val="24"/>
          <w:lang w:eastAsia="es-ES"/>
        </w:rPr>
        <w:t>” , “</w:t>
      </w:r>
      <w:proofErr w:type="spellStart"/>
      <w:r w:rsidRPr="00950EAF">
        <w:rPr>
          <w:rFonts w:ascii="Arial" w:hAnsi="Arial" w:cs="Arial"/>
          <w:sz w:val="24"/>
          <w:lang w:eastAsia="es-ES"/>
        </w:rPr>
        <w:t>Marchetti</w:t>
      </w:r>
      <w:proofErr w:type="spellEnd"/>
      <w:r w:rsidRPr="00950EAF">
        <w:rPr>
          <w:rFonts w:ascii="Arial" w:hAnsi="Arial" w:cs="Arial"/>
          <w:sz w:val="24"/>
          <w:lang w:eastAsia="es-ES"/>
        </w:rPr>
        <w:t xml:space="preserve">” y “Obregón”,   también lo es que en ellos se hace mención,   exclusivamente,   a la imposibilidad de condicionar la habilitación de los estrados provinciales al previo cumplimiento de una vía administrativa ante “organismos de orden  federal”, como lo son las comisiones médicas previstas en los  arts. 21 y 22 de la LRT en su versión original (Castillo, cit., pág. 3620 y su cita),  por lo que más allá del desacierto que supone extender la lógica de dicho razonamiento respecto de los procedimientos y condiciones de habilitación de la instancia de la Justicia Nacional,   lo concreto es que el Máximo Tribunal nunca se pronunció sobre la validez intrínseca del mencionado trámite.  </w:t>
      </w:r>
    </w:p>
    <w:p w:rsidR="00667AAD" w:rsidRPr="00950EAF" w:rsidRDefault="00667AAD" w:rsidP="00950EAF">
      <w:pPr>
        <w:ind w:firstLine="1134"/>
        <w:jc w:val="both"/>
        <w:rPr>
          <w:rFonts w:ascii="Arial" w:hAnsi="Arial" w:cs="Arial"/>
          <w:sz w:val="24"/>
          <w:lang w:eastAsia="es-ES"/>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Es así que aun cuando,  reitero,   la objeción relativa a la invalidez constitucional de una regla de procedimiento que avanza sobre las autonomías provinciales nunca pudo ser legítimamente extendida a tribunales nacionales cuyas reglas son fijadas por el Congreso de la Nación,   es claro que la referida objeción queda desactivada si se advierte que,   pese a la pretensión de universalidad con la cual los arts.1ro y 2do  de la ley 27.348  enuncian las condiciones de habilitación de la instancia y las normas recursivas,  aludiendo impropiamente a las jurisdicciones provinciales sobre las cuales no puede legislar,   el art. 4to no hace más que reconocer tal limitación poniendo las cosas en sus legítimos límites,  al  invitar a las provincias y a la Ciudad de Buenos Aires,   en clara alusión a un eventual traspaso de competencias,   a adherir al régimen que,  de tal modo, sólo resulta aplicable a la Justicia Nacional del Trabajo,  y respecto de los procesos que,  en función del art.1ro,   resulten alcanzados por su competencia territorial.  </w:t>
      </w:r>
    </w:p>
    <w:p w:rsidR="00667AAD" w:rsidRPr="00950EAF" w:rsidRDefault="00667AAD" w:rsidP="00950EAF">
      <w:pPr>
        <w:ind w:firstLine="1134"/>
        <w:jc w:val="both"/>
        <w:rPr>
          <w:rFonts w:ascii="Arial" w:hAnsi="Arial" w:cs="Arial"/>
          <w:sz w:val="24"/>
          <w:lang w:eastAsia="es-ES"/>
        </w:rPr>
      </w:pPr>
    </w:p>
    <w:p w:rsidR="00950EAF" w:rsidRDefault="00950EAF" w:rsidP="00950EAF">
      <w:pPr>
        <w:ind w:firstLine="1134"/>
        <w:jc w:val="both"/>
        <w:rPr>
          <w:rFonts w:ascii="Arial" w:hAnsi="Arial" w:cs="Arial"/>
          <w:sz w:val="24"/>
          <w:lang w:eastAsia="es-ES"/>
        </w:rPr>
      </w:pPr>
      <w:r w:rsidRPr="00950EAF">
        <w:rPr>
          <w:rFonts w:ascii="Arial" w:hAnsi="Arial" w:cs="Arial"/>
          <w:sz w:val="24"/>
          <w:lang w:eastAsia="es-ES"/>
        </w:rPr>
        <w:t xml:space="preserve">Por consiguiente,  de prosperar mi voto, debería confirmarse lo resuelto en la anterior instancia, sin costas de Alzada, atento la ausencia de controversia (art. 68 CPCCN).  </w:t>
      </w:r>
    </w:p>
    <w:p w:rsidR="00527AB4" w:rsidRDefault="00527AB4" w:rsidP="00950EAF">
      <w:pPr>
        <w:ind w:firstLine="1134"/>
        <w:jc w:val="both"/>
        <w:rPr>
          <w:rFonts w:ascii="Arial" w:hAnsi="Arial" w:cs="Arial"/>
          <w:sz w:val="24"/>
          <w:lang w:eastAsia="es-ES"/>
        </w:rPr>
      </w:pPr>
    </w:p>
    <w:p w:rsidR="00527AB4" w:rsidRPr="00527AB4" w:rsidRDefault="00527AB4" w:rsidP="0001705E">
      <w:pPr>
        <w:jc w:val="both"/>
        <w:rPr>
          <w:rFonts w:ascii="Arial" w:hAnsi="Arial" w:cs="Arial"/>
          <w:b/>
          <w:bCs/>
          <w:sz w:val="24"/>
          <w:u w:val="single"/>
          <w:lang w:val="es-AR" w:eastAsia="es-ES"/>
        </w:rPr>
      </w:pPr>
      <w:r w:rsidRPr="00527AB4">
        <w:rPr>
          <w:rFonts w:ascii="Arial" w:hAnsi="Arial" w:cs="Arial"/>
          <w:b/>
          <w:sz w:val="24"/>
          <w:u w:val="single"/>
          <w:lang w:eastAsia="es-ES"/>
        </w:rPr>
        <w:t xml:space="preserve">El </w:t>
      </w:r>
      <w:r w:rsidR="0001705E">
        <w:rPr>
          <w:rFonts w:ascii="Arial" w:hAnsi="Arial" w:cs="Arial"/>
          <w:b/>
          <w:sz w:val="24"/>
          <w:u w:val="single"/>
          <w:lang w:eastAsia="es-ES"/>
        </w:rPr>
        <w:t>Dr.</w:t>
      </w:r>
      <w:r w:rsidRPr="00527AB4">
        <w:rPr>
          <w:rFonts w:ascii="Arial" w:hAnsi="Arial" w:cs="Arial"/>
          <w:b/>
          <w:sz w:val="24"/>
          <w:u w:val="single"/>
          <w:lang w:eastAsia="es-ES"/>
        </w:rPr>
        <w:t xml:space="preserve"> Néstor Miguel Rodríguez </w:t>
      </w:r>
      <w:proofErr w:type="spellStart"/>
      <w:r w:rsidRPr="00527AB4">
        <w:rPr>
          <w:rFonts w:ascii="Arial" w:hAnsi="Arial" w:cs="Arial"/>
          <w:b/>
          <w:sz w:val="24"/>
          <w:u w:val="single"/>
          <w:lang w:eastAsia="es-ES"/>
        </w:rPr>
        <w:t>Brunengo</w:t>
      </w:r>
      <w:proofErr w:type="spellEnd"/>
      <w:r w:rsidRPr="00527AB4">
        <w:rPr>
          <w:rFonts w:ascii="Arial" w:hAnsi="Arial" w:cs="Arial"/>
          <w:b/>
          <w:bCs/>
          <w:sz w:val="24"/>
          <w:u w:val="single"/>
          <w:lang w:val="es-AR" w:eastAsia="es-ES"/>
        </w:rPr>
        <w:t xml:space="preserve"> dijo:</w:t>
      </w:r>
    </w:p>
    <w:p w:rsidR="00527AB4" w:rsidRPr="00527AB4" w:rsidRDefault="00527AB4" w:rsidP="0001705E">
      <w:pPr>
        <w:jc w:val="both"/>
        <w:rPr>
          <w:rFonts w:ascii="Arial" w:hAnsi="Arial" w:cs="Arial"/>
          <w:b/>
          <w:bCs/>
          <w:sz w:val="24"/>
          <w:u w:val="single"/>
          <w:lang w:val="es-AR"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Llegan las presentes actuaciones a mi vocalía, en virtud de la disidencia de mis distinguidos colegas, y adelanto que habré de adherir a la conclusión propuesta por la Dra. Cañal.</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Asimismo, sobre la cuestión agrego que recientemente me he expedido en un fallo dictado por la Sala VII de la CNAT en autos</w:t>
      </w:r>
      <w:r w:rsidRPr="00C8033B">
        <w:rPr>
          <w:rFonts w:ascii="Arial" w:hAnsi="Arial" w:cs="Arial"/>
          <w:sz w:val="24"/>
          <w:lang w:val="es-MX" w:eastAsia="es-ES"/>
        </w:rPr>
        <w:t xml:space="preserve"> “MERCADO HECTOR GABRIEL C/GALENO ART S.A. S/ACCIDENTE – LEY ESPECIAL” (Sentencia Definitiva Nro. 41.999 del 2 de octubre de 2017) en cual se consideró </w:t>
      </w:r>
      <w:r w:rsidRPr="00C8033B">
        <w:rPr>
          <w:rFonts w:ascii="Arial" w:hAnsi="Arial" w:cs="Arial"/>
          <w:sz w:val="24"/>
          <w:lang w:eastAsia="es-ES"/>
        </w:rPr>
        <w:t>que la jurisdicción es un atributo exclusivo de los jueces, por lo tanto el art. 1 de la Ley Complementaria de la Ley sobre Riesgos de Trabajo viola el art. 18 de la Constitución Nacional que en la imposición del debido proceso encierra lo expuesto con más los principios del Juez natural y el Juez especializado.</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 xml:space="preserve">Lo dicho se potencia en este análisis, si se tiene en cuenta que se deja en manos ajenas a la Magistratura el concepto de nexo causal en cuando a la existencia del evento dañoso, uno de los conceptos más complejos de la ciencia jurídica y definitorio del proceso todo, en tanto se encuentra involucrado nada más ni nada menos que el derecho a la salud </w:t>
      </w:r>
      <w:r w:rsidRPr="00C8033B">
        <w:rPr>
          <w:rFonts w:ascii="Arial" w:hAnsi="Arial" w:cs="Arial"/>
          <w:sz w:val="24"/>
          <w:lang w:eastAsia="es-ES"/>
        </w:rPr>
        <w:lastRenderedPageBreak/>
        <w:t>de los sujetos especialmente protegidos por su vulnerabilidad (arts. 14 bis, 18 y 116 del a Constitución Nacional,  a lo que se suma la jurisprudencia de la Corte Suprema de Justicia de la Nación y los Tratados Internacionales).</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De modo tal que la norma aludida resulta inaplicable y al igual que en los precedentes del Máximo Tribunal in re “Castillo Ángel Santos c. Cerámica Alberdi S.A.”(sentencia del 7/9/2004), “</w:t>
      </w:r>
      <w:proofErr w:type="spellStart"/>
      <w:r w:rsidRPr="00C8033B">
        <w:rPr>
          <w:rFonts w:ascii="Arial" w:hAnsi="Arial" w:cs="Arial"/>
          <w:sz w:val="24"/>
          <w:lang w:eastAsia="es-ES"/>
        </w:rPr>
        <w:t>Venialgo</w:t>
      </w:r>
      <w:proofErr w:type="spellEnd"/>
      <w:r w:rsidRPr="00C8033B">
        <w:rPr>
          <w:rFonts w:ascii="Arial" w:hAnsi="Arial" w:cs="Arial"/>
          <w:sz w:val="24"/>
          <w:lang w:eastAsia="es-ES"/>
        </w:rPr>
        <w:t>, Inocencio c/ Mapfre Aconcagua A.R.T. y otros” (sentencia del 13/3/2007),  “</w:t>
      </w:r>
      <w:proofErr w:type="spellStart"/>
      <w:r w:rsidRPr="00C8033B">
        <w:rPr>
          <w:rFonts w:ascii="Arial" w:hAnsi="Arial" w:cs="Arial"/>
          <w:sz w:val="24"/>
          <w:lang w:eastAsia="es-ES"/>
        </w:rPr>
        <w:t>Marchetti</w:t>
      </w:r>
      <w:proofErr w:type="spellEnd"/>
      <w:r w:rsidRPr="00C8033B">
        <w:rPr>
          <w:rFonts w:ascii="Arial" w:hAnsi="Arial" w:cs="Arial"/>
          <w:sz w:val="24"/>
          <w:lang w:eastAsia="es-ES"/>
        </w:rPr>
        <w:t>, Néstor Gabriel c/ La Caja ART S.A. s/ Ley 24557” (sentencia del 4/10/2007) y “Obregón, Francisco Víctor c/</w:t>
      </w:r>
      <w:proofErr w:type="spellStart"/>
      <w:r w:rsidRPr="00C8033B">
        <w:rPr>
          <w:rFonts w:ascii="Arial" w:hAnsi="Arial" w:cs="Arial"/>
          <w:sz w:val="24"/>
          <w:lang w:eastAsia="es-ES"/>
        </w:rPr>
        <w:t>Liberty</w:t>
      </w:r>
      <w:proofErr w:type="spellEnd"/>
      <w:r w:rsidRPr="00C8033B">
        <w:rPr>
          <w:rFonts w:ascii="Arial" w:hAnsi="Arial" w:cs="Arial"/>
          <w:sz w:val="24"/>
          <w:lang w:eastAsia="es-ES"/>
        </w:rPr>
        <w:t xml:space="preserve"> ART S.A.” (sentencia del 17/4/2012), corresponde habilitar la instancia judicial del fuero para conocer en estos actuados, pues el acceso a los estrados judiciales de un trabajar que reclama indemnizaciones por temas de salud, no puede quedar condicionado o supeditado al previo cumplimiento de una vía administrativa que no cumple la garantía del Juez natural que tiene por fin asegurar la máxima imparcialidad en el juzgamiento de las personas (art. 18 de la Constitución Nacional) que se refuerza con la expresa prohibición establecida en el art. 109 de la Ley Fundamental. </w:t>
      </w:r>
    </w:p>
    <w:p w:rsidR="00C8033B" w:rsidRPr="00C8033B" w:rsidRDefault="00C8033B" w:rsidP="00C8033B">
      <w:pPr>
        <w:ind w:firstLine="1134"/>
        <w:jc w:val="both"/>
        <w:rPr>
          <w:rFonts w:ascii="Arial" w:hAnsi="Arial" w:cs="Arial"/>
          <w:sz w:val="24"/>
          <w:lang w:eastAsia="es-ES"/>
        </w:rPr>
      </w:pPr>
      <w:r w:rsidRPr="00C8033B">
        <w:rPr>
          <w:rFonts w:ascii="Arial" w:hAnsi="Arial" w:cs="Arial"/>
          <w:sz w:val="24"/>
          <w:lang w:eastAsia="es-ES"/>
        </w:rPr>
        <w:t xml:space="preserve">    </w:t>
      </w:r>
    </w:p>
    <w:p w:rsidR="00C8033B" w:rsidRDefault="00C8033B" w:rsidP="00C8033B">
      <w:pPr>
        <w:ind w:firstLine="1134"/>
        <w:jc w:val="both"/>
        <w:rPr>
          <w:rFonts w:ascii="Arial" w:hAnsi="Arial" w:cs="Arial"/>
          <w:sz w:val="24"/>
          <w:lang w:val="es-AR" w:eastAsia="es-ES"/>
        </w:rPr>
      </w:pPr>
      <w:r w:rsidRPr="00C8033B">
        <w:rPr>
          <w:rFonts w:ascii="Arial" w:hAnsi="Arial" w:cs="Arial"/>
          <w:sz w:val="24"/>
          <w:lang w:eastAsia="es-ES"/>
        </w:rPr>
        <w:t xml:space="preserve">En </w:t>
      </w:r>
      <w:r w:rsidR="00AC7E17">
        <w:rPr>
          <w:rFonts w:ascii="Arial" w:hAnsi="Arial" w:cs="Arial"/>
          <w:sz w:val="24"/>
          <w:lang w:eastAsia="es-ES"/>
        </w:rPr>
        <w:t>tal andarivel</w:t>
      </w:r>
      <w:r w:rsidRPr="00C8033B">
        <w:rPr>
          <w:rFonts w:ascii="Arial" w:hAnsi="Arial" w:cs="Arial"/>
          <w:sz w:val="24"/>
          <w:lang w:eastAsia="es-ES"/>
        </w:rPr>
        <w:t>, en el precedente citado</w:t>
      </w:r>
      <w:r w:rsidR="00AC7E17">
        <w:rPr>
          <w:rFonts w:ascii="Arial" w:hAnsi="Arial" w:cs="Arial"/>
          <w:sz w:val="24"/>
          <w:lang w:eastAsia="es-ES"/>
        </w:rPr>
        <w:t>,</w:t>
      </w:r>
      <w:r w:rsidRPr="00C8033B">
        <w:rPr>
          <w:rFonts w:ascii="Arial" w:hAnsi="Arial" w:cs="Arial"/>
          <w:sz w:val="24"/>
          <w:lang w:eastAsia="es-ES"/>
        </w:rPr>
        <w:t xml:space="preserve"> di cuenta que el diseño instaurado a partir de las modificaciones impuestas a la Ley de Riesgos del Trabajo, consistente en un procedimiento administrativo con facultades jurisdiccionales, de carácter previo, obligatorio y excluyente, no brinda las garantías del debido proceso (art. 18 de la Constitución Nacional), tanto más que no le permite al trabajador enfermo o accidentado replantear los hechos ni ofrecer pruebas, sino únicamente discutir lo actuado en aquella sede, excluyendo la demanda directa</w:t>
      </w:r>
      <w:r w:rsidRPr="00C8033B">
        <w:rPr>
          <w:rFonts w:ascii="Arial" w:hAnsi="Arial" w:cs="Arial"/>
          <w:sz w:val="24"/>
          <w:lang w:val="es-AR" w:eastAsia="es-ES"/>
        </w:rPr>
        <w:t xml:space="preserve">. </w:t>
      </w:r>
    </w:p>
    <w:p w:rsidR="0014276B" w:rsidRPr="00C8033B" w:rsidRDefault="0014276B" w:rsidP="00C8033B">
      <w:pPr>
        <w:ind w:firstLine="1134"/>
        <w:jc w:val="both"/>
        <w:rPr>
          <w:rFonts w:ascii="Arial" w:hAnsi="Arial" w:cs="Arial"/>
          <w:sz w:val="24"/>
          <w:lang w:val="es-AR" w:eastAsia="es-ES"/>
        </w:rPr>
      </w:pPr>
    </w:p>
    <w:p w:rsidR="00C8033B" w:rsidRDefault="00C8033B" w:rsidP="00C8033B">
      <w:pPr>
        <w:ind w:firstLine="1134"/>
        <w:jc w:val="both"/>
        <w:rPr>
          <w:rFonts w:ascii="Arial" w:hAnsi="Arial" w:cs="Arial"/>
          <w:sz w:val="24"/>
          <w:lang w:val="es-AR" w:eastAsia="es-ES"/>
        </w:rPr>
      </w:pPr>
      <w:r w:rsidRPr="00C8033B">
        <w:rPr>
          <w:rFonts w:ascii="Arial" w:hAnsi="Arial" w:cs="Arial"/>
          <w:sz w:val="24"/>
          <w:lang w:val="es-AR" w:eastAsia="es-ES"/>
        </w:rPr>
        <w:t>Entiendo que al otorgarse facultades jurisdiccionales a las Comisiones Médicas, se demora innecesariamente el acceso rápido y pleno a la justicia tal como lo señaló el Máximo Tribunal en la causa “Obregón”, dejando al arbitrio de los médicos decisiones tales como determinar si un accidente o una enfermedad puede encuadrarse en las previsiones del art. 6 de la Ley de Riesgos del Trabajo, esto es, si puede ser considerado como una contingencia cubierta o no por el dispositivo legal, cuando tal calificación solo puede ser establecida por el Juez de la causa, luego del análisis de los hechos y el derecho que las partes invocan, cuestión que no puede quedar en mano de galenos.</w:t>
      </w:r>
    </w:p>
    <w:p w:rsidR="00C8033B" w:rsidRPr="00C8033B" w:rsidRDefault="00C8033B" w:rsidP="00C8033B">
      <w:pPr>
        <w:ind w:firstLine="1134"/>
        <w:jc w:val="both"/>
        <w:rPr>
          <w:rFonts w:ascii="Arial" w:hAnsi="Arial" w:cs="Arial"/>
          <w:sz w:val="24"/>
          <w:lang w:val="es-AR" w:eastAsia="es-ES"/>
        </w:rPr>
      </w:pPr>
    </w:p>
    <w:p w:rsidR="00C8033B" w:rsidRDefault="00C8033B" w:rsidP="00C8033B">
      <w:pPr>
        <w:ind w:firstLine="1134"/>
        <w:jc w:val="both"/>
        <w:rPr>
          <w:rFonts w:ascii="Arial" w:hAnsi="Arial" w:cs="Arial"/>
          <w:sz w:val="24"/>
          <w:lang w:val="es-AR" w:eastAsia="es-ES"/>
        </w:rPr>
      </w:pPr>
      <w:r w:rsidRPr="00C8033B">
        <w:rPr>
          <w:rFonts w:ascii="Arial" w:hAnsi="Arial" w:cs="Arial"/>
          <w:sz w:val="24"/>
          <w:lang w:val="es-AR" w:eastAsia="es-ES"/>
        </w:rPr>
        <w:t>No soslayo que el decreto 1475/2015 determina que cada Comisión Médica y Comisión Médica Central se constituirán con Secretarios Técnicos Letrados como órgano jurídico permanente, pero éstos no emitirán dictámenes vinculantes y la decisión jurídica se encuentra en manos de médicos, de modo que no se sanea la falencia referida anteriormente, pues la resolución administrativa  definitiva estará a cargo de los profesionales de la medicina, quienes deberán resolver cuestionas jurídicas muchas veces complejas, relativas a distintos aspectos de la Ley 24.557 (contingencias comprendidas, situaciones cubiertas, determinación del IBM, si hay pagos clandestinos que conformen el salario, qué prueba resulta conducente, los derechohabientes legitimados, entre otros).</w:t>
      </w:r>
    </w:p>
    <w:p w:rsidR="00C8033B" w:rsidRPr="00C8033B" w:rsidRDefault="00C8033B" w:rsidP="00C8033B">
      <w:pPr>
        <w:ind w:firstLine="1134"/>
        <w:jc w:val="both"/>
        <w:rPr>
          <w:rFonts w:ascii="Arial" w:hAnsi="Arial" w:cs="Arial"/>
          <w:sz w:val="24"/>
          <w:lang w:val="es-AR" w:eastAsia="es-ES"/>
        </w:rPr>
      </w:pPr>
    </w:p>
    <w:p w:rsidR="00C8033B" w:rsidRDefault="00C8033B" w:rsidP="00C8033B">
      <w:pPr>
        <w:ind w:firstLine="1134"/>
        <w:jc w:val="both"/>
        <w:rPr>
          <w:rFonts w:ascii="Arial" w:hAnsi="Arial" w:cs="Arial"/>
          <w:sz w:val="24"/>
          <w:lang w:val="es-AR" w:eastAsia="es-ES"/>
        </w:rPr>
      </w:pPr>
      <w:r w:rsidRPr="00C8033B">
        <w:rPr>
          <w:rFonts w:ascii="Arial" w:hAnsi="Arial" w:cs="Arial"/>
          <w:sz w:val="24"/>
          <w:lang w:val="es-AR" w:eastAsia="es-ES"/>
        </w:rPr>
        <w:t xml:space="preserve">Cabe recordar que el art. 116 de la Norma Fundamental determina como facultad exclusiva y excluyente del Poder Judicial la decisión de todas las causas que versen sobre puntos regidos por la Constitución y por las leyes de la Nación, de modo que cuando tal potestad se le confiere a un órgano del Poder Ejecutivo, se viola el </w:t>
      </w:r>
      <w:r w:rsidRPr="00C8033B">
        <w:rPr>
          <w:rFonts w:ascii="Arial" w:hAnsi="Arial" w:cs="Arial"/>
          <w:sz w:val="24"/>
          <w:lang w:val="es-AR" w:eastAsia="es-ES"/>
        </w:rPr>
        <w:lastRenderedPageBreak/>
        <w:t>principio republicano de división de poderes y se afecta el derecho de acudir al Juez natural en un debido proceso judicial.</w:t>
      </w:r>
    </w:p>
    <w:p w:rsidR="00C8033B" w:rsidRPr="00C8033B" w:rsidRDefault="00C8033B" w:rsidP="00C8033B">
      <w:pPr>
        <w:ind w:firstLine="1134"/>
        <w:jc w:val="both"/>
        <w:rPr>
          <w:rFonts w:ascii="Arial" w:hAnsi="Arial" w:cs="Arial"/>
          <w:sz w:val="24"/>
          <w:lang w:val="es-AR"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val="es-AR" w:eastAsia="es-ES"/>
        </w:rPr>
        <w:t>La revisión judicial prevista en el art. 2 de la Ley 27.348 no satisface la garantía mínima del debido proceso</w:t>
      </w:r>
      <w:r w:rsidRPr="00C8033B">
        <w:rPr>
          <w:rFonts w:ascii="Arial" w:hAnsi="Arial" w:cs="Arial"/>
          <w:sz w:val="24"/>
          <w:lang w:eastAsia="es-ES"/>
        </w:rPr>
        <w:t>, tendiente a asegurar un resultado justo y equitativo dentro de una contienda judicial, que le permita tener oportunidad de ser oído y hacer valer sus pretensiones legítimas frente al Juez (art. 18 citado), ya que el recurso que estatuye como mera revisión judicial de lo actuado en sede administrativa por los profesionales de la medicina, a quienes se les otorga facultades jurisdiccionales para desestimar las pruebas improcedentes, superfluas o dilatorias, amén de establecer los distintos aspectos que rodean la viabilidad de un reclamo indemnizatorio dentro de las previsiones y con los alcances previstos por la ley 24.557.</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La idoneidad técnica de los miembros de las comisiones médicas para evaluar la existencia de dolencias y las incapacidades que éstas pudieran generar desde sus conocimientos científicos es indudable, pero reitero que la determinación del carácter laboral del accidente o profesional de la enfermedad,  así como la relación causal con el factor laboral, son materias que exceden los conocimientos científico de aquéllos y requieren de una formación técnico-jurídico de la que adolecen, y es natural que así sea, pues para la determinación de tales aspectos, son los jueces quienes resultan idóneos tanto desde el punto de vista científico como constitucional.</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 xml:space="preserve">El Máximo Tribunal ha dicho </w:t>
      </w:r>
      <w:r w:rsidRPr="00C8033B">
        <w:rPr>
          <w:rFonts w:ascii="Arial" w:hAnsi="Arial" w:cs="Arial"/>
          <w:i/>
          <w:sz w:val="24"/>
          <w:lang w:eastAsia="es-ES"/>
        </w:rPr>
        <w:t>in re</w:t>
      </w:r>
      <w:r w:rsidRPr="00C8033B">
        <w:rPr>
          <w:rFonts w:ascii="Arial" w:hAnsi="Arial" w:cs="Arial"/>
          <w:sz w:val="24"/>
          <w:lang w:eastAsia="es-ES"/>
        </w:rPr>
        <w:t xml:space="preserve"> “</w:t>
      </w:r>
      <w:proofErr w:type="spellStart"/>
      <w:r w:rsidRPr="00C8033B">
        <w:rPr>
          <w:rFonts w:ascii="Arial" w:hAnsi="Arial" w:cs="Arial"/>
          <w:sz w:val="24"/>
          <w:lang w:eastAsia="es-ES"/>
        </w:rPr>
        <w:t>Alvarez</w:t>
      </w:r>
      <w:proofErr w:type="spellEnd"/>
      <w:r w:rsidRPr="00C8033B">
        <w:rPr>
          <w:rFonts w:ascii="Arial" w:hAnsi="Arial" w:cs="Arial"/>
          <w:sz w:val="24"/>
          <w:lang w:eastAsia="es-ES"/>
        </w:rPr>
        <w:t xml:space="preserve">, Maximiliano y otro c. </w:t>
      </w:r>
      <w:proofErr w:type="spellStart"/>
      <w:r w:rsidRPr="00C8033B">
        <w:rPr>
          <w:rFonts w:ascii="Arial" w:hAnsi="Arial" w:cs="Arial"/>
          <w:sz w:val="24"/>
          <w:lang w:eastAsia="es-ES"/>
        </w:rPr>
        <w:t>Cencosud</w:t>
      </w:r>
      <w:proofErr w:type="spellEnd"/>
      <w:r w:rsidRPr="00C8033B">
        <w:rPr>
          <w:rFonts w:ascii="Arial" w:hAnsi="Arial" w:cs="Arial"/>
          <w:sz w:val="24"/>
          <w:lang w:eastAsia="es-ES"/>
        </w:rPr>
        <w:t xml:space="preserve"> S.A. s/Acción de Amparo” (A.1023.XLIII) que el debido impulso hacia la progresividad en la plena efectividad de los derechos humanos que reconocen, propia de todos los textos internacionales y especialmente del PIDESC (art. 2.1), sumado al principio </w:t>
      </w:r>
      <w:r w:rsidRPr="00C8033B">
        <w:rPr>
          <w:rFonts w:ascii="Arial" w:hAnsi="Arial" w:cs="Arial"/>
          <w:i/>
          <w:sz w:val="24"/>
          <w:lang w:eastAsia="es-ES"/>
        </w:rPr>
        <w:t xml:space="preserve">pro </w:t>
      </w:r>
      <w:proofErr w:type="spellStart"/>
      <w:r w:rsidRPr="00C8033B">
        <w:rPr>
          <w:rFonts w:ascii="Arial" w:hAnsi="Arial" w:cs="Arial"/>
          <w:i/>
          <w:sz w:val="24"/>
          <w:lang w:eastAsia="es-ES"/>
        </w:rPr>
        <w:t>homine</w:t>
      </w:r>
      <w:proofErr w:type="spellEnd"/>
      <w:r w:rsidRPr="00C8033B">
        <w:rPr>
          <w:rFonts w:ascii="Arial" w:hAnsi="Arial" w:cs="Arial"/>
          <w:sz w:val="24"/>
          <w:lang w:eastAsia="es-ES"/>
        </w:rPr>
        <w:t>, connatural con estos documentos, determina que el intérprete del derecho debe escoger,  el resultado que proteja en mayor medida a la persona humana.</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b/>
          <w:bCs/>
          <w:sz w:val="24"/>
          <w:lang w:eastAsia="es-ES"/>
        </w:rPr>
      </w:pPr>
      <w:r w:rsidRPr="00C8033B">
        <w:rPr>
          <w:rFonts w:ascii="Arial" w:hAnsi="Arial" w:cs="Arial"/>
          <w:sz w:val="24"/>
          <w:lang w:eastAsia="es-ES"/>
        </w:rPr>
        <w:t xml:space="preserve">La pauta hermenéutica citada se impone con mayor intensidad, cuando su aplicación no entrañe colisión alguna del derecho humano, así interpretado, con otros valores, principios, atribuciones o derechos constitucionales. En el precedente de 1974 de vital importancia en el control constitucional </w:t>
      </w:r>
      <w:r w:rsidRPr="00C8033B">
        <w:rPr>
          <w:rFonts w:ascii="Arial" w:hAnsi="Arial" w:cs="Arial"/>
          <w:i/>
          <w:sz w:val="24"/>
          <w:lang w:eastAsia="es-ES"/>
        </w:rPr>
        <w:t>in re “</w:t>
      </w:r>
      <w:proofErr w:type="spellStart"/>
      <w:r w:rsidRPr="00C8033B">
        <w:rPr>
          <w:rFonts w:ascii="Arial" w:hAnsi="Arial" w:cs="Arial"/>
          <w:sz w:val="24"/>
          <w:lang w:eastAsia="es-ES"/>
        </w:rPr>
        <w:t>Bercaitz</w:t>
      </w:r>
      <w:proofErr w:type="spellEnd"/>
      <w:r w:rsidRPr="00C8033B">
        <w:rPr>
          <w:rFonts w:ascii="Arial" w:hAnsi="Arial" w:cs="Arial"/>
          <w:sz w:val="24"/>
          <w:lang w:eastAsia="es-ES"/>
        </w:rPr>
        <w:t xml:space="preserve"> Miguel Ángel s/Jubilación (CSJN, Fallos: 289:430)</w:t>
      </w:r>
      <w:r w:rsidRPr="00C8033B">
        <w:rPr>
          <w:rFonts w:ascii="Arial" w:hAnsi="Arial" w:cs="Arial"/>
          <w:b/>
          <w:bCs/>
          <w:sz w:val="24"/>
          <w:lang w:eastAsia="es-ES"/>
        </w:rPr>
        <w:t xml:space="preserve">, se censuró  toda  inteligencia restrictiva de los derechos humanos, puesto que contrariaba de tal modo la jurisprudencia de la Corte concordante con la doctrina universal y el principio de favorabilidad (Fallos: 289:430, 437; 293:26,27).  </w:t>
      </w:r>
    </w:p>
    <w:p w:rsidR="00C8033B" w:rsidRPr="00C8033B" w:rsidRDefault="00C8033B" w:rsidP="00C8033B">
      <w:pPr>
        <w:ind w:firstLine="1134"/>
        <w:jc w:val="both"/>
        <w:rPr>
          <w:rFonts w:ascii="Arial" w:hAnsi="Arial" w:cs="Arial"/>
          <w:sz w:val="24"/>
          <w:lang w:eastAsia="es-ES"/>
        </w:rPr>
      </w:pPr>
      <w:r w:rsidRPr="00C8033B">
        <w:rPr>
          <w:rFonts w:ascii="Arial" w:hAnsi="Arial" w:cs="Arial"/>
          <w:b/>
          <w:bCs/>
          <w:sz w:val="24"/>
          <w:lang w:eastAsia="es-ES"/>
        </w:rPr>
        <w:t xml:space="preserve">       </w:t>
      </w:r>
      <w:r w:rsidRPr="00C8033B">
        <w:rPr>
          <w:rFonts w:ascii="Arial" w:hAnsi="Arial" w:cs="Arial"/>
          <w:b/>
          <w:sz w:val="24"/>
          <w:lang w:eastAsia="es-ES"/>
        </w:rPr>
        <w:t xml:space="preserve">   </w:t>
      </w:r>
      <w:r w:rsidRPr="00C8033B">
        <w:rPr>
          <w:rFonts w:ascii="Arial" w:hAnsi="Arial" w:cs="Arial"/>
          <w:sz w:val="24"/>
          <w:lang w:val="es-AR" w:eastAsia="es-ES"/>
        </w:rPr>
        <w:t xml:space="preserve">                                     </w:t>
      </w:r>
      <w:r w:rsidRPr="00C8033B">
        <w:rPr>
          <w:rFonts w:ascii="Arial" w:hAnsi="Arial" w:cs="Arial"/>
          <w:sz w:val="24"/>
          <w:lang w:eastAsia="es-ES"/>
        </w:rPr>
        <w:t xml:space="preserve"> </w:t>
      </w:r>
    </w:p>
    <w:p w:rsidR="00C8033B" w:rsidRDefault="00C8033B" w:rsidP="00C8033B">
      <w:pPr>
        <w:ind w:firstLine="1134"/>
        <w:jc w:val="both"/>
        <w:rPr>
          <w:rFonts w:ascii="Arial" w:hAnsi="Arial" w:cs="Arial"/>
          <w:sz w:val="24"/>
          <w:lang w:val="es-ES_tradnl" w:eastAsia="es-ES"/>
        </w:rPr>
      </w:pPr>
      <w:r w:rsidRPr="00C8033B">
        <w:rPr>
          <w:rFonts w:ascii="Arial" w:hAnsi="Arial" w:cs="Arial"/>
          <w:sz w:val="24"/>
          <w:lang w:val="es-ES_tradnl" w:eastAsia="es-ES"/>
        </w:rPr>
        <w:t>La Corte Interamericana por su parte tiene dicho que “…constituye un principio básico relativo a la independencia de la judicatura,  que toda persona tiene derecho a ser juzgada por tribunales de justicia ordinarios con arreglo a procedimientos legalmente establecidos. El Estado no debe crear tribunales que no apliquen normas procesales debidamente establecidas para sustituir la jurisdicción que corresponda normalmente a los tribunales ordinarios” (Caso “</w:t>
      </w:r>
      <w:proofErr w:type="spellStart"/>
      <w:r w:rsidRPr="00C8033B">
        <w:rPr>
          <w:rFonts w:ascii="Arial" w:hAnsi="Arial" w:cs="Arial"/>
          <w:sz w:val="24"/>
          <w:lang w:val="es-ES_tradnl" w:eastAsia="es-ES"/>
        </w:rPr>
        <w:t>Lori</w:t>
      </w:r>
      <w:proofErr w:type="spellEnd"/>
      <w:r w:rsidRPr="00C8033B">
        <w:rPr>
          <w:rFonts w:ascii="Arial" w:hAnsi="Arial" w:cs="Arial"/>
          <w:sz w:val="24"/>
          <w:lang w:val="es-ES_tradnl" w:eastAsia="es-ES"/>
        </w:rPr>
        <w:t xml:space="preserve"> </w:t>
      </w:r>
      <w:proofErr w:type="spellStart"/>
      <w:r w:rsidRPr="00C8033B">
        <w:rPr>
          <w:rFonts w:ascii="Arial" w:hAnsi="Arial" w:cs="Arial"/>
          <w:sz w:val="24"/>
          <w:lang w:val="es-ES_tradnl" w:eastAsia="es-ES"/>
        </w:rPr>
        <w:t>Berenson</w:t>
      </w:r>
      <w:proofErr w:type="spellEnd"/>
      <w:r w:rsidRPr="00C8033B">
        <w:rPr>
          <w:rFonts w:ascii="Arial" w:hAnsi="Arial" w:cs="Arial"/>
          <w:sz w:val="24"/>
          <w:lang w:val="es-ES_tradnl" w:eastAsia="es-ES"/>
        </w:rPr>
        <w:t xml:space="preserve"> Mejía Vs. Perú. Fondo. Reparaciones y Costas”, Sentencia del 25 de noviembre de 2004, Serie C Nro. 119, párr.143).  </w:t>
      </w:r>
    </w:p>
    <w:p w:rsidR="00C8033B" w:rsidRPr="00C8033B" w:rsidRDefault="00C8033B" w:rsidP="00C8033B">
      <w:pPr>
        <w:ind w:firstLine="1134"/>
        <w:jc w:val="both"/>
        <w:rPr>
          <w:rFonts w:ascii="Arial" w:hAnsi="Arial" w:cs="Arial"/>
          <w:sz w:val="24"/>
          <w:lang w:val="es-ES_tradnl" w:eastAsia="es-ES"/>
        </w:rPr>
      </w:pPr>
    </w:p>
    <w:p w:rsidR="00C8033B" w:rsidRDefault="00C8033B" w:rsidP="00C8033B">
      <w:pPr>
        <w:ind w:firstLine="1134"/>
        <w:jc w:val="both"/>
        <w:rPr>
          <w:rFonts w:ascii="Arial" w:hAnsi="Arial" w:cs="Arial"/>
          <w:sz w:val="24"/>
          <w:lang w:val="es-ES_tradnl" w:eastAsia="es-ES"/>
        </w:rPr>
      </w:pPr>
      <w:r w:rsidRPr="00C8033B">
        <w:rPr>
          <w:rFonts w:ascii="Arial" w:hAnsi="Arial" w:cs="Arial"/>
          <w:sz w:val="24"/>
          <w:lang w:val="es-ES_tradnl" w:eastAsia="es-ES"/>
        </w:rPr>
        <w:t xml:space="preserve">Lo hasta aquí expuesto me permite establecer que en virtud del estado de vigencia de los tratados, el alcance interpretativo de éstos según el art. 75 inc. 22 de la Constitución Nacional, por imperio de los principios </w:t>
      </w:r>
      <w:r w:rsidRPr="00C8033B">
        <w:rPr>
          <w:rFonts w:ascii="Arial" w:hAnsi="Arial" w:cs="Arial"/>
          <w:i/>
          <w:sz w:val="24"/>
          <w:lang w:val="es-ES_tradnl" w:eastAsia="es-ES"/>
        </w:rPr>
        <w:t xml:space="preserve">pro </w:t>
      </w:r>
      <w:proofErr w:type="spellStart"/>
      <w:r w:rsidRPr="00C8033B">
        <w:rPr>
          <w:rFonts w:ascii="Arial" w:hAnsi="Arial" w:cs="Arial"/>
          <w:i/>
          <w:sz w:val="24"/>
          <w:lang w:val="es-ES_tradnl" w:eastAsia="es-ES"/>
        </w:rPr>
        <w:t>homine</w:t>
      </w:r>
      <w:proofErr w:type="spellEnd"/>
      <w:r w:rsidRPr="00C8033B">
        <w:rPr>
          <w:rFonts w:ascii="Arial" w:hAnsi="Arial" w:cs="Arial"/>
          <w:sz w:val="24"/>
          <w:lang w:val="es-ES_tradnl" w:eastAsia="es-ES"/>
        </w:rPr>
        <w:t xml:space="preserve"> y de progresividad, al perderse el Juez natural con </w:t>
      </w:r>
      <w:r w:rsidRPr="00C8033B">
        <w:rPr>
          <w:rFonts w:ascii="Arial" w:hAnsi="Arial" w:cs="Arial"/>
          <w:sz w:val="24"/>
          <w:lang w:val="es-ES_tradnl" w:eastAsia="es-ES"/>
        </w:rPr>
        <w:lastRenderedPageBreak/>
        <w:t xml:space="preserve">su especial versación y en el marco de un proceso específico determinado para la disciplina como es la Ley Orgánica, se produce la violación del debido proceso, que no se preserva porque se establezca una mera revisión vía recursiva, pues el proceso en sí, se deja en manos de profesionales de la medicina,  en un régimen que el Sr. Fiscal General califica como algo parco y barroco y que se encuentra reglamentado en parte por el Superintendente de Riesgos del Trabajo, con la posible laguna acerca del proceso judicial concreto ulterior, lo que se encuentra en pugna con el mandado constitucional como lo he adelantado (art. 18 de la Constitución Nacional).  </w:t>
      </w:r>
    </w:p>
    <w:p w:rsidR="00C8033B" w:rsidRPr="00C8033B" w:rsidRDefault="00C8033B" w:rsidP="00C8033B">
      <w:pPr>
        <w:ind w:firstLine="1134"/>
        <w:jc w:val="both"/>
        <w:rPr>
          <w:rFonts w:ascii="Arial" w:hAnsi="Arial" w:cs="Arial"/>
          <w:sz w:val="24"/>
          <w:lang w:val="es-ES_tradnl"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val="es-ES_tradnl" w:eastAsia="es-ES"/>
        </w:rPr>
        <w:t>En conclusión, corresponde declarar la inconstitucionalidad de la determinación</w:t>
      </w:r>
      <w:r w:rsidRPr="00C8033B">
        <w:rPr>
          <w:rFonts w:ascii="Arial" w:hAnsi="Arial" w:cs="Arial"/>
          <w:sz w:val="24"/>
          <w:lang w:eastAsia="es-ES"/>
        </w:rPr>
        <w:t xml:space="preserve"> de una instancia previa  y obligatoria (art. 1 de la ley 27.348),en tanto lesiona el acceso irrestricto a la justicia, la tutela judicial efectiva y el debido proceso legal, derechos éstos tutelados por el art. 18 de la Constitución Nacional, además de  los arts. 10 de la Declaración Universal de Derechos Humanos,  2.1 del PIDESC, 18 de la Declaración Americana de los Derechos y Deberes del Hombre, 8 y 25 de la Convención Americana de Derechos Humanos y art. 14 del Pacto Internacional de Derechos Civiles y Políticos. Así lo decido.</w:t>
      </w:r>
    </w:p>
    <w:p w:rsidR="00C8033B" w:rsidRPr="00C8033B" w:rsidRDefault="00C8033B" w:rsidP="00C8033B">
      <w:pPr>
        <w:ind w:firstLine="1134"/>
        <w:jc w:val="both"/>
        <w:rPr>
          <w:rFonts w:ascii="Arial" w:hAnsi="Arial" w:cs="Arial"/>
          <w:sz w:val="24"/>
          <w:lang w:eastAsia="es-ES"/>
        </w:rPr>
      </w:pPr>
    </w:p>
    <w:p w:rsidR="00C8033B" w:rsidRDefault="00C8033B" w:rsidP="00C8033B">
      <w:pPr>
        <w:ind w:firstLine="1134"/>
        <w:jc w:val="both"/>
        <w:rPr>
          <w:rFonts w:ascii="Arial" w:hAnsi="Arial" w:cs="Arial"/>
          <w:sz w:val="24"/>
          <w:lang w:eastAsia="es-ES"/>
        </w:rPr>
      </w:pPr>
      <w:r w:rsidRPr="00C8033B">
        <w:rPr>
          <w:rFonts w:ascii="Arial" w:hAnsi="Arial" w:cs="Arial"/>
          <w:sz w:val="24"/>
          <w:lang w:eastAsia="es-ES"/>
        </w:rPr>
        <w:t>En consecuencia, se debe asumir sin más, la aptitud jurisdiccional la presente causa.</w:t>
      </w:r>
    </w:p>
    <w:p w:rsidR="00C8033B" w:rsidRPr="00C8033B" w:rsidRDefault="00C8033B" w:rsidP="00C8033B">
      <w:pPr>
        <w:ind w:firstLine="1134"/>
        <w:jc w:val="both"/>
        <w:rPr>
          <w:rFonts w:ascii="Arial" w:hAnsi="Arial" w:cs="Arial"/>
          <w:sz w:val="24"/>
          <w:lang w:eastAsia="es-ES"/>
        </w:rPr>
      </w:pPr>
      <w:r w:rsidRPr="00C8033B">
        <w:rPr>
          <w:rFonts w:ascii="Arial" w:hAnsi="Arial" w:cs="Arial"/>
          <w:sz w:val="24"/>
          <w:lang w:eastAsia="es-ES"/>
        </w:rPr>
        <w:t xml:space="preserve">  </w:t>
      </w:r>
    </w:p>
    <w:p w:rsidR="00C8033B" w:rsidRPr="00C8033B" w:rsidRDefault="00C8033B" w:rsidP="00C8033B">
      <w:pPr>
        <w:ind w:firstLine="1134"/>
        <w:jc w:val="both"/>
        <w:rPr>
          <w:rFonts w:ascii="Arial" w:hAnsi="Arial" w:cs="Arial"/>
          <w:sz w:val="24"/>
          <w:lang w:val="es-AR" w:eastAsia="es-ES"/>
        </w:rPr>
      </w:pPr>
      <w:r w:rsidRPr="00C8033B">
        <w:rPr>
          <w:rFonts w:ascii="Arial" w:hAnsi="Arial" w:cs="Arial"/>
          <w:sz w:val="24"/>
          <w:lang w:val="es-AR" w:eastAsia="es-ES"/>
        </w:rPr>
        <w:t xml:space="preserve">Adhiero a la Dra. Cañal también con relación a lo dispuesto en materia de costas. </w:t>
      </w:r>
    </w:p>
    <w:p w:rsidR="00C8033B" w:rsidRPr="00C8033B" w:rsidRDefault="00C8033B" w:rsidP="00C8033B">
      <w:pPr>
        <w:ind w:firstLine="1134"/>
        <w:jc w:val="both"/>
        <w:rPr>
          <w:rFonts w:ascii="Arial" w:hAnsi="Arial" w:cs="Arial"/>
          <w:sz w:val="24"/>
          <w:lang w:val="es-AR" w:eastAsia="es-ES"/>
        </w:rPr>
      </w:pPr>
    </w:p>
    <w:p w:rsidR="00527AB4" w:rsidRPr="00527AB4" w:rsidRDefault="00527AB4" w:rsidP="00527AB4">
      <w:pPr>
        <w:ind w:firstLine="1134"/>
        <w:jc w:val="both"/>
        <w:rPr>
          <w:rFonts w:ascii="Arial" w:hAnsi="Arial" w:cs="Arial"/>
          <w:sz w:val="24"/>
          <w:lang w:val="es-MX" w:eastAsia="es-ES"/>
        </w:rPr>
      </w:pPr>
      <w:r w:rsidRPr="00527AB4">
        <w:rPr>
          <w:rFonts w:ascii="Arial" w:hAnsi="Arial" w:cs="Arial"/>
          <w:sz w:val="24"/>
          <w:lang w:val="es-MX" w:eastAsia="es-ES"/>
        </w:rPr>
        <w:t xml:space="preserve">Por ello, </w:t>
      </w:r>
      <w:r w:rsidRPr="00527AB4">
        <w:rPr>
          <w:rFonts w:ascii="Arial" w:hAnsi="Arial" w:cs="Arial"/>
          <w:b/>
          <w:sz w:val="24"/>
          <w:u w:val="single"/>
          <w:lang w:val="es-MX" w:eastAsia="es-ES"/>
        </w:rPr>
        <w:t>el Tribunal RESUELVE</w:t>
      </w:r>
      <w:r w:rsidRPr="00527AB4">
        <w:rPr>
          <w:rFonts w:ascii="Arial" w:hAnsi="Arial" w:cs="Arial"/>
          <w:sz w:val="24"/>
          <w:lang w:val="es-MX" w:eastAsia="es-ES"/>
        </w:rPr>
        <w:t xml:space="preserve">: </w:t>
      </w:r>
      <w:r w:rsidRPr="00527AB4">
        <w:rPr>
          <w:rFonts w:ascii="Arial" w:hAnsi="Arial" w:cs="Arial"/>
          <w:sz w:val="24"/>
          <w:lang w:eastAsia="es-ES"/>
        </w:rPr>
        <w:t xml:space="preserve">I.- </w:t>
      </w:r>
      <w:r w:rsidRPr="00527AB4">
        <w:rPr>
          <w:rFonts w:ascii="Arial" w:hAnsi="Arial" w:cs="Arial"/>
          <w:iCs/>
          <w:sz w:val="24"/>
          <w:lang w:val="es-MX" w:eastAsia="es-ES"/>
        </w:rPr>
        <w:t xml:space="preserve">Revocar el fallo de la primera instancia; II- Declarar la </w:t>
      </w:r>
      <w:r w:rsidRPr="00527AB4">
        <w:rPr>
          <w:rFonts w:ascii="Arial" w:hAnsi="Arial" w:cs="Arial"/>
          <w:sz w:val="24"/>
          <w:lang w:eastAsia="es-ES"/>
        </w:rPr>
        <w:t>aptitud jurisdiccional de la justicia del Trabajo</w:t>
      </w:r>
      <w:r w:rsidRPr="00527AB4">
        <w:rPr>
          <w:rFonts w:ascii="Arial" w:hAnsi="Arial" w:cs="Arial"/>
          <w:iCs/>
          <w:sz w:val="24"/>
          <w:lang w:eastAsia="es-ES"/>
        </w:rPr>
        <w:t>; III- S</w:t>
      </w:r>
      <w:r w:rsidRPr="00527AB4">
        <w:rPr>
          <w:rFonts w:ascii="Arial" w:hAnsi="Arial" w:cs="Arial"/>
          <w:iCs/>
          <w:sz w:val="24"/>
          <w:lang w:val="es-MX" w:eastAsia="es-ES"/>
        </w:rPr>
        <w:t xml:space="preserve">in costas, ante la falta de contradictorio; </w:t>
      </w:r>
      <w:r w:rsidRPr="00527AB4">
        <w:rPr>
          <w:rFonts w:ascii="Arial" w:hAnsi="Arial" w:cs="Arial"/>
          <w:sz w:val="24"/>
          <w:lang w:val="es-ES_tradnl" w:eastAsia="es-ES"/>
        </w:rPr>
        <w:t>IV</w:t>
      </w:r>
      <w:r w:rsidRPr="00527AB4">
        <w:rPr>
          <w:rFonts w:ascii="Arial" w:hAnsi="Arial" w:cs="Arial"/>
          <w:sz w:val="24"/>
          <w:lang w:eastAsia="es-ES"/>
        </w:rPr>
        <w:t>.- Oportunamente, cúmplase con lo dispuesto en el artículo 1º de la ley 26.856 y con la Acordada de la Corte Suprema de Justicia de la Nación Nº 15/2013</w:t>
      </w:r>
      <w:r w:rsidRPr="00527AB4">
        <w:rPr>
          <w:rFonts w:ascii="Arial" w:hAnsi="Arial" w:cs="Arial"/>
          <w:sz w:val="24"/>
          <w:lang w:val="es-MX" w:eastAsia="es-ES"/>
        </w:rPr>
        <w:t>.</w:t>
      </w:r>
    </w:p>
    <w:p w:rsidR="00527AB4" w:rsidRPr="00527AB4" w:rsidRDefault="00527AB4" w:rsidP="00527AB4">
      <w:pPr>
        <w:ind w:firstLine="1134"/>
        <w:jc w:val="both"/>
        <w:rPr>
          <w:rFonts w:ascii="Arial" w:hAnsi="Arial" w:cs="Arial"/>
          <w:b/>
          <w:sz w:val="24"/>
          <w:lang w:eastAsia="es-ES"/>
        </w:rPr>
      </w:pPr>
    </w:p>
    <w:p w:rsidR="00527AB4" w:rsidRPr="00527AB4" w:rsidRDefault="00527AB4" w:rsidP="00527AB4">
      <w:pPr>
        <w:ind w:firstLine="1134"/>
        <w:jc w:val="both"/>
        <w:rPr>
          <w:rFonts w:ascii="Arial" w:hAnsi="Arial" w:cs="Arial"/>
          <w:sz w:val="24"/>
          <w:lang w:val="es-MX" w:eastAsia="es-ES"/>
        </w:rPr>
      </w:pPr>
      <w:r w:rsidRPr="00527AB4">
        <w:rPr>
          <w:rFonts w:ascii="Arial" w:hAnsi="Arial" w:cs="Arial"/>
          <w:sz w:val="24"/>
          <w:lang w:val="es-MX" w:eastAsia="es-ES"/>
        </w:rPr>
        <w:t xml:space="preserve">Regístrese, notifíquese y oportunamente devuélvase. </w:t>
      </w:r>
    </w:p>
    <w:p w:rsidR="00527AB4" w:rsidRDefault="00527AB4" w:rsidP="00950EAF">
      <w:pPr>
        <w:ind w:firstLine="1134"/>
        <w:jc w:val="both"/>
        <w:rPr>
          <w:rFonts w:ascii="Arial" w:hAnsi="Arial" w:cs="Arial"/>
          <w:sz w:val="24"/>
          <w:lang w:eastAsia="es-ES"/>
        </w:rPr>
      </w:pPr>
    </w:p>
    <w:p w:rsidR="00883A7C" w:rsidRDefault="00883A7C" w:rsidP="00950EAF">
      <w:pPr>
        <w:ind w:firstLine="1134"/>
        <w:jc w:val="both"/>
        <w:rPr>
          <w:rFonts w:ascii="Arial" w:hAnsi="Arial" w:cs="Arial"/>
          <w:sz w:val="24"/>
          <w:lang w:eastAsia="es-ES"/>
        </w:rPr>
      </w:pPr>
    </w:p>
    <w:p w:rsidR="00883A7C" w:rsidRDefault="00883A7C" w:rsidP="00950EAF">
      <w:pPr>
        <w:ind w:firstLine="1134"/>
        <w:jc w:val="both"/>
        <w:rPr>
          <w:rFonts w:ascii="Arial" w:hAnsi="Arial" w:cs="Arial"/>
          <w:sz w:val="24"/>
          <w:lang w:eastAsia="es-ES"/>
        </w:rPr>
      </w:pPr>
    </w:p>
    <w:p w:rsidR="00883A7C" w:rsidRDefault="00883A7C" w:rsidP="00950EAF">
      <w:pPr>
        <w:ind w:firstLine="1134"/>
        <w:jc w:val="both"/>
        <w:rPr>
          <w:rFonts w:ascii="Arial" w:hAnsi="Arial" w:cs="Arial"/>
          <w:sz w:val="24"/>
          <w:lang w:eastAsia="es-ES"/>
        </w:rPr>
      </w:pPr>
    </w:p>
    <w:p w:rsidR="00883A7C" w:rsidRDefault="00883A7C" w:rsidP="00950EAF">
      <w:pPr>
        <w:ind w:firstLine="1134"/>
        <w:jc w:val="both"/>
        <w:rPr>
          <w:rFonts w:ascii="Arial" w:hAnsi="Arial" w:cs="Arial"/>
          <w:sz w:val="24"/>
          <w:lang w:eastAsia="es-ES"/>
        </w:rPr>
      </w:pPr>
    </w:p>
    <w:p w:rsidR="00883A7C" w:rsidRDefault="00883A7C" w:rsidP="00950EAF">
      <w:pPr>
        <w:ind w:firstLine="1134"/>
        <w:jc w:val="both"/>
        <w:rPr>
          <w:rFonts w:ascii="Arial" w:hAnsi="Arial" w:cs="Arial"/>
          <w:sz w:val="24"/>
          <w:lang w:eastAsia="es-ES"/>
        </w:rPr>
      </w:pPr>
    </w:p>
    <w:p w:rsidR="00883A7C" w:rsidRPr="00950EAF" w:rsidRDefault="00883A7C" w:rsidP="00950EAF">
      <w:pPr>
        <w:ind w:firstLine="1134"/>
        <w:jc w:val="both"/>
        <w:rPr>
          <w:rFonts w:ascii="Arial" w:hAnsi="Arial" w:cs="Arial"/>
          <w:sz w:val="24"/>
          <w:lang w:eastAsia="es-ES"/>
        </w:rPr>
      </w:pPr>
    </w:p>
    <w:p w:rsidR="00883A7C" w:rsidRDefault="00883A7C" w:rsidP="00883A7C">
      <w:pPr>
        <w:jc w:val="both"/>
        <w:rPr>
          <w:rFonts w:ascii="Arial" w:hAnsi="Arial" w:cs="Arial"/>
          <w:b/>
          <w:iCs/>
        </w:rPr>
      </w:pPr>
      <w:r w:rsidRPr="00883A7C">
        <w:rPr>
          <w:rFonts w:ascii="Arial" w:hAnsi="Arial" w:cs="Arial"/>
          <w:b/>
          <w:iCs/>
        </w:rPr>
        <w:t xml:space="preserve">Néstor M. Rodríguez </w:t>
      </w:r>
      <w:proofErr w:type="spellStart"/>
      <w:r w:rsidRPr="00883A7C">
        <w:rPr>
          <w:rFonts w:ascii="Arial" w:hAnsi="Arial" w:cs="Arial"/>
          <w:b/>
          <w:iCs/>
        </w:rPr>
        <w:t>Brunengo</w:t>
      </w:r>
      <w:proofErr w:type="spellEnd"/>
      <w:r w:rsidRPr="00883A7C">
        <w:rPr>
          <w:rFonts w:ascii="Arial" w:hAnsi="Arial" w:cs="Arial"/>
          <w:b/>
          <w:iCs/>
        </w:rPr>
        <w:t xml:space="preserve"> </w:t>
      </w:r>
      <w:r>
        <w:rPr>
          <w:rFonts w:ascii="Arial" w:hAnsi="Arial" w:cs="Arial"/>
          <w:b/>
          <w:iCs/>
        </w:rPr>
        <w:t xml:space="preserve">             </w:t>
      </w:r>
      <w:r w:rsidR="00C8033B" w:rsidRPr="00883A7C">
        <w:rPr>
          <w:rFonts w:ascii="Arial" w:hAnsi="Arial" w:cs="Arial"/>
          <w:b/>
          <w:iCs/>
        </w:rPr>
        <w:t xml:space="preserve">Alejandro H. </w:t>
      </w:r>
      <w:proofErr w:type="spellStart"/>
      <w:r w:rsidR="00C8033B" w:rsidRPr="00883A7C">
        <w:rPr>
          <w:rFonts w:ascii="Arial" w:hAnsi="Arial" w:cs="Arial"/>
          <w:b/>
          <w:iCs/>
        </w:rPr>
        <w:t>Perugini</w:t>
      </w:r>
      <w:proofErr w:type="spellEnd"/>
      <w:r>
        <w:rPr>
          <w:rFonts w:ascii="Arial" w:hAnsi="Arial" w:cs="Arial"/>
          <w:b/>
          <w:iCs/>
        </w:rPr>
        <w:t xml:space="preserve">              </w:t>
      </w:r>
      <w:r w:rsidR="00C8033B" w:rsidRPr="00883A7C">
        <w:rPr>
          <w:rFonts w:ascii="Arial" w:hAnsi="Arial" w:cs="Arial"/>
          <w:b/>
          <w:iCs/>
        </w:rPr>
        <w:t>Diana R. Cañal</w:t>
      </w:r>
      <w:r>
        <w:rPr>
          <w:rFonts w:ascii="Arial" w:hAnsi="Arial" w:cs="Arial"/>
          <w:b/>
          <w:iCs/>
        </w:rPr>
        <w:t xml:space="preserve">           </w:t>
      </w:r>
    </w:p>
    <w:p w:rsidR="00C8033B" w:rsidRPr="00883A7C" w:rsidRDefault="00883A7C" w:rsidP="00883A7C">
      <w:pPr>
        <w:jc w:val="both"/>
        <w:rPr>
          <w:rFonts w:ascii="Arial" w:hAnsi="Arial" w:cs="Arial"/>
          <w:b/>
          <w:iCs/>
        </w:rPr>
      </w:pPr>
      <w:r>
        <w:rPr>
          <w:rFonts w:ascii="Arial" w:hAnsi="Arial" w:cs="Arial"/>
          <w:b/>
          <w:iCs/>
        </w:rPr>
        <w:t xml:space="preserve">            </w:t>
      </w:r>
      <w:r w:rsidRPr="00883A7C">
        <w:rPr>
          <w:rFonts w:ascii="Arial" w:hAnsi="Arial" w:cs="Arial"/>
          <w:b/>
          <w:iCs/>
        </w:rPr>
        <w:t xml:space="preserve">Juez de Cámara  </w:t>
      </w:r>
      <w:r>
        <w:rPr>
          <w:rFonts w:ascii="Arial" w:hAnsi="Arial" w:cs="Arial"/>
          <w:b/>
          <w:iCs/>
        </w:rPr>
        <w:t xml:space="preserve">                               </w:t>
      </w:r>
      <w:r w:rsidR="00C8033B" w:rsidRPr="00883A7C">
        <w:rPr>
          <w:rFonts w:ascii="Arial" w:hAnsi="Arial" w:cs="Arial"/>
          <w:b/>
          <w:iCs/>
        </w:rPr>
        <w:t>Juez de Cámara</w:t>
      </w:r>
      <w:r>
        <w:rPr>
          <w:rFonts w:ascii="Arial" w:hAnsi="Arial" w:cs="Arial"/>
          <w:b/>
          <w:iCs/>
        </w:rPr>
        <w:t xml:space="preserve">                </w:t>
      </w:r>
      <w:r w:rsidR="00C8033B" w:rsidRPr="00883A7C">
        <w:rPr>
          <w:rFonts w:ascii="Arial" w:hAnsi="Arial" w:cs="Arial"/>
          <w:b/>
          <w:iCs/>
        </w:rPr>
        <w:t>Juez de Cámara</w:t>
      </w:r>
    </w:p>
    <w:p w:rsidR="00C8033B" w:rsidRPr="00883A7C" w:rsidRDefault="00C8033B" w:rsidP="00C8033B">
      <w:pPr>
        <w:ind w:firstLine="1134"/>
        <w:jc w:val="both"/>
        <w:rPr>
          <w:rFonts w:ascii="Arial" w:hAnsi="Arial" w:cs="Arial"/>
          <w:b/>
          <w:iCs/>
        </w:rPr>
      </w:pPr>
    </w:p>
    <w:p w:rsidR="00C8033B" w:rsidRDefault="00C8033B" w:rsidP="00C8033B">
      <w:pPr>
        <w:ind w:firstLine="1134"/>
        <w:jc w:val="both"/>
        <w:rPr>
          <w:rFonts w:ascii="Arial" w:hAnsi="Arial" w:cs="Arial"/>
          <w:b/>
          <w:iCs/>
          <w:sz w:val="24"/>
          <w:szCs w:val="24"/>
        </w:rPr>
      </w:pPr>
    </w:p>
    <w:p w:rsidR="00883A7C" w:rsidRPr="00C8033B" w:rsidRDefault="00883A7C" w:rsidP="00C8033B">
      <w:pPr>
        <w:ind w:firstLine="1134"/>
        <w:jc w:val="both"/>
        <w:rPr>
          <w:rFonts w:ascii="Arial" w:hAnsi="Arial" w:cs="Arial"/>
          <w:b/>
          <w:iCs/>
          <w:sz w:val="24"/>
          <w:szCs w:val="24"/>
        </w:rPr>
      </w:pPr>
    </w:p>
    <w:p w:rsidR="00C8033B" w:rsidRPr="00C8033B" w:rsidRDefault="00C8033B" w:rsidP="00C8033B">
      <w:pPr>
        <w:ind w:firstLine="1134"/>
        <w:jc w:val="both"/>
        <w:rPr>
          <w:rFonts w:ascii="Arial" w:hAnsi="Arial" w:cs="Arial"/>
          <w:b/>
          <w:iCs/>
          <w:sz w:val="24"/>
          <w:szCs w:val="24"/>
        </w:rPr>
      </w:pPr>
    </w:p>
    <w:p w:rsidR="00C8033B" w:rsidRPr="00C8033B" w:rsidRDefault="00C8033B" w:rsidP="00C8033B">
      <w:pPr>
        <w:ind w:firstLine="1134"/>
        <w:jc w:val="both"/>
        <w:rPr>
          <w:rFonts w:ascii="Arial" w:hAnsi="Arial" w:cs="Arial"/>
          <w:b/>
          <w:iCs/>
          <w:sz w:val="24"/>
          <w:szCs w:val="24"/>
        </w:rPr>
      </w:pPr>
    </w:p>
    <w:p w:rsidR="00883A7C" w:rsidRDefault="00C8033B" w:rsidP="00883A7C">
      <w:pPr>
        <w:jc w:val="both"/>
        <w:rPr>
          <w:rFonts w:ascii="Arial" w:hAnsi="Arial" w:cs="Arial"/>
          <w:b/>
          <w:iCs/>
        </w:rPr>
      </w:pPr>
      <w:r w:rsidRPr="00883A7C">
        <w:rPr>
          <w:rFonts w:ascii="Arial" w:hAnsi="Arial" w:cs="Arial"/>
          <w:b/>
          <w:iCs/>
        </w:rPr>
        <w:t xml:space="preserve">Ante mí:    </w:t>
      </w:r>
      <w:r w:rsidR="00EA2644">
        <w:rPr>
          <w:rFonts w:ascii="Arial" w:hAnsi="Arial" w:cs="Arial"/>
          <w:b/>
          <w:iCs/>
        </w:rPr>
        <w:t xml:space="preserve">            </w:t>
      </w:r>
      <w:r w:rsidRPr="00883A7C">
        <w:rPr>
          <w:rFonts w:ascii="Arial" w:hAnsi="Arial" w:cs="Arial"/>
          <w:b/>
          <w:iCs/>
        </w:rPr>
        <w:t xml:space="preserve"> María Luján Garay</w:t>
      </w:r>
    </w:p>
    <w:p w:rsidR="00092526" w:rsidRPr="00555904" w:rsidRDefault="00883A7C" w:rsidP="00555904">
      <w:pPr>
        <w:jc w:val="both"/>
        <w:rPr>
          <w:rFonts w:ascii="Arial" w:hAnsi="Arial" w:cs="Arial"/>
          <w:b/>
          <w:iCs/>
        </w:rPr>
      </w:pPr>
      <w:r w:rsidRPr="00883A7C">
        <w:rPr>
          <w:rFonts w:ascii="Arial" w:hAnsi="Arial" w:cs="Arial"/>
          <w:b/>
          <w:iCs/>
          <w:sz w:val="18"/>
          <w:szCs w:val="18"/>
        </w:rPr>
        <w:t>10</w:t>
      </w:r>
      <w:r w:rsidR="00C8033B" w:rsidRPr="00883A7C">
        <w:rPr>
          <w:rFonts w:ascii="Arial" w:hAnsi="Arial" w:cs="Arial"/>
          <w:b/>
          <w:iCs/>
        </w:rPr>
        <w:t xml:space="preserve">                    </w:t>
      </w:r>
      <w:r>
        <w:rPr>
          <w:rFonts w:ascii="Arial" w:hAnsi="Arial" w:cs="Arial"/>
          <w:b/>
          <w:iCs/>
        </w:rPr>
        <w:t xml:space="preserve">              </w:t>
      </w:r>
      <w:r w:rsidR="00C8033B" w:rsidRPr="00883A7C">
        <w:rPr>
          <w:rFonts w:ascii="Arial" w:hAnsi="Arial" w:cs="Arial"/>
          <w:b/>
          <w:iCs/>
        </w:rPr>
        <w:t xml:space="preserve"> Secretaria</w:t>
      </w:r>
      <w:r w:rsidR="00C8033B" w:rsidRPr="00C8033B">
        <w:rPr>
          <w:rFonts w:ascii="Arial" w:hAnsi="Arial" w:cs="Arial"/>
          <w:b/>
          <w:iCs/>
          <w:sz w:val="24"/>
          <w:szCs w:val="24"/>
        </w:rPr>
        <w:t xml:space="preserve">                            </w:t>
      </w: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C8033B">
      <w:pPr>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092526" w:rsidRDefault="00092526" w:rsidP="00A50E21">
      <w:pPr>
        <w:ind w:firstLine="1134"/>
        <w:jc w:val="both"/>
        <w:rPr>
          <w:rFonts w:ascii="Arial" w:hAnsi="Arial" w:cs="Arial"/>
          <w:b/>
          <w:sz w:val="24"/>
          <w:szCs w:val="24"/>
        </w:rPr>
      </w:pPr>
    </w:p>
    <w:p w:rsidR="00A50E21" w:rsidRPr="00A50E21" w:rsidRDefault="00A50E21" w:rsidP="00A50E21">
      <w:pPr>
        <w:jc w:val="both"/>
        <w:rPr>
          <w:rFonts w:ascii="Arial" w:hAnsi="Arial" w:cs="Arial"/>
          <w:iCs/>
          <w:sz w:val="24"/>
          <w:szCs w:val="24"/>
        </w:rPr>
      </w:pPr>
      <w:r w:rsidRPr="00A50E21">
        <w:rPr>
          <w:rFonts w:ascii="Arial" w:hAnsi="Arial" w:cs="Arial"/>
          <w:b/>
          <w:iCs/>
          <w:sz w:val="24"/>
          <w:szCs w:val="24"/>
        </w:rPr>
        <w:t xml:space="preserve"> </w:t>
      </w:r>
    </w:p>
    <w:p w:rsidR="00601100" w:rsidRPr="00462819" w:rsidRDefault="00601100" w:rsidP="00601100">
      <w:pPr>
        <w:ind w:firstLine="1134"/>
        <w:jc w:val="both"/>
        <w:rPr>
          <w:rFonts w:ascii="Arial" w:hAnsi="Arial"/>
          <w:iCs/>
          <w:sz w:val="24"/>
        </w:rPr>
      </w:pPr>
    </w:p>
    <w:p w:rsidR="00601100" w:rsidRPr="005A6E6C" w:rsidRDefault="00601100" w:rsidP="00601100">
      <w:pPr>
        <w:ind w:firstLine="1134"/>
        <w:jc w:val="both"/>
        <w:rPr>
          <w:rFonts w:ascii="Arial" w:hAnsi="Arial" w:cs="Arial"/>
          <w:b/>
          <w:iCs/>
          <w:sz w:val="24"/>
          <w:szCs w:val="24"/>
          <w:u w:val="single"/>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Default="00601100" w:rsidP="00601100">
      <w:pPr>
        <w:ind w:firstLine="1134"/>
        <w:jc w:val="both"/>
        <w:rPr>
          <w:rFonts w:ascii="Arial" w:hAnsi="Arial" w:cs="Arial"/>
          <w:iCs/>
          <w:sz w:val="24"/>
          <w:szCs w:val="24"/>
          <w:lang w:val="es-MX"/>
        </w:rPr>
      </w:pPr>
    </w:p>
    <w:p w:rsidR="00601100" w:rsidRPr="00A57552" w:rsidRDefault="00601100" w:rsidP="00601100">
      <w:pPr>
        <w:pStyle w:val="Default"/>
        <w:spacing w:after="240"/>
        <w:ind w:firstLine="1134"/>
        <w:jc w:val="both"/>
        <w:rPr>
          <w:rFonts w:ascii="Arial" w:hAnsi="Arial" w:cs="Arial"/>
        </w:rPr>
      </w:pPr>
    </w:p>
    <w:p w:rsidR="00601100" w:rsidRPr="009A351F" w:rsidRDefault="00601100" w:rsidP="00601100">
      <w:pPr>
        <w:shd w:val="clear" w:color="auto" w:fill="FFFFFF"/>
        <w:ind w:firstLine="1134"/>
        <w:jc w:val="both"/>
        <w:rPr>
          <w:rFonts w:ascii="Arial" w:hAnsi="Arial" w:cs="Arial"/>
          <w:color w:val="FF0000"/>
          <w:sz w:val="24"/>
          <w:szCs w:val="24"/>
          <w:lang w:val="es-MX"/>
        </w:rPr>
      </w:pPr>
    </w:p>
    <w:p w:rsidR="009D45C1" w:rsidRPr="00601100" w:rsidRDefault="009D45C1" w:rsidP="00601100">
      <w:pPr>
        <w:rPr>
          <w:lang w:val="es-MX"/>
        </w:rPr>
      </w:pPr>
    </w:p>
    <w:sectPr w:rsidR="009D45C1" w:rsidRPr="00601100" w:rsidSect="00181212">
      <w:headerReference w:type="default" r:id="rId9"/>
      <w:footerReference w:type="default" r:id="rId10"/>
      <w:headerReference w:type="first" r:id="rId11"/>
      <w:pgSz w:w="12242" w:h="20163" w:code="5"/>
      <w:pgMar w:top="1701" w:right="1701" w:bottom="2268" w:left="2552" w:header="720" w:footer="720" w:gutter="0"/>
      <w:pgNumType w:start="2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7D" w:rsidRDefault="00E01C7D">
      <w:r>
        <w:separator/>
      </w:r>
    </w:p>
  </w:endnote>
  <w:endnote w:type="continuationSeparator" w:id="0">
    <w:p w:rsidR="00E01C7D" w:rsidRDefault="00E0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EE" w:rsidRDefault="00F914EE" w:rsidP="00351DB7">
    <w:pPr>
      <w:pStyle w:val="Piedepgina"/>
      <w:tabs>
        <w:tab w:val="clear" w:pos="4419"/>
        <w:tab w:val="clear" w:pos="8838"/>
        <w:tab w:val="left" w:pos="24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7D" w:rsidRDefault="00E01C7D">
      <w:r>
        <w:separator/>
      </w:r>
    </w:p>
  </w:footnote>
  <w:footnote w:type="continuationSeparator" w:id="0">
    <w:p w:rsidR="00E01C7D" w:rsidRDefault="00E01C7D">
      <w:r>
        <w:continuationSeparator/>
      </w:r>
    </w:p>
  </w:footnote>
  <w:footnote w:id="1">
    <w:p w:rsidR="00601100" w:rsidRDefault="00601100" w:rsidP="00601100">
      <w:pPr>
        <w:pStyle w:val="Textonotapie"/>
      </w:pPr>
      <w:r>
        <w:rPr>
          <w:rStyle w:val="Refdenotaalpie"/>
        </w:rPr>
        <w:footnoteRef/>
      </w:r>
      <w:r>
        <w:t xml:space="preserve">  </w:t>
      </w:r>
      <w:r w:rsidRPr="00547D52">
        <w:t>SALA III "</w:t>
      </w:r>
      <w:proofErr w:type="spellStart"/>
      <w:r w:rsidRPr="00547D52">
        <w:t>Fiorino</w:t>
      </w:r>
      <w:proofErr w:type="spellEnd"/>
      <w:r w:rsidRPr="00547D52">
        <w:t xml:space="preserve">, Augusto Marcelo C/QBE Argentina ART S.A. S/ Accidente-Ley Especial” Causa Nro. 1832/2013, del registro </w:t>
      </w:r>
      <w:r>
        <w:t>de esta Sala, el día 25/04/2017</w:t>
      </w:r>
    </w:p>
  </w:footnote>
  <w:footnote w:id="2">
    <w:p w:rsidR="00601100" w:rsidRDefault="00601100" w:rsidP="00601100">
      <w:pPr>
        <w:pStyle w:val="Textonotapie"/>
        <w:jc w:val="both"/>
      </w:pPr>
      <w:r>
        <w:rPr>
          <w:rStyle w:val="Refdenotaalpie"/>
        </w:rPr>
        <w:footnoteRef/>
      </w:r>
      <w:r>
        <w:t xml:space="preserve">  En oposición a lo manifestado en la cita anterior por la suscripta, ver </w:t>
      </w:r>
      <w:proofErr w:type="spellStart"/>
      <w:r>
        <w:t>Abalos</w:t>
      </w:r>
      <w:proofErr w:type="spellEnd"/>
      <w:r>
        <w:t xml:space="preserve">  María Gabriela, “Diálogo jurisprudencial y valor del precedente. Desafío de los superiores tribunales de justicia en el federalismo argentino”, La Ley, 20 de septiembre de 2017.</w:t>
      </w:r>
    </w:p>
  </w:footnote>
  <w:footnote w:id="3">
    <w:p w:rsidR="00601100" w:rsidRPr="005D78CE" w:rsidRDefault="00601100" w:rsidP="00601100">
      <w:pPr>
        <w:pStyle w:val="Textonotapie"/>
        <w:jc w:val="both"/>
      </w:pPr>
      <w:r>
        <w:rPr>
          <w:rStyle w:val="Refdenotaalpie"/>
        </w:rPr>
        <w:footnoteRef/>
      </w:r>
      <w:r w:rsidRPr="005D78CE">
        <w:t xml:space="preserve"> KELSEN, Hans; "Teoría Pura del Derecho"; Ed. Universidad Nacional Autónoma de México, México, 1982; Traducción de la segunda edición en alemán por Roberto J. </w:t>
      </w:r>
      <w:proofErr w:type="spellStart"/>
      <w:r w:rsidRPr="005D78CE">
        <w:t>Vernengo</w:t>
      </w:r>
      <w:proofErr w:type="spellEnd"/>
      <w:r w:rsidRPr="005D78CE">
        <w:t xml:space="preserve">, </w:t>
      </w:r>
      <w:proofErr w:type="spellStart"/>
      <w:r w:rsidRPr="005D78CE">
        <w:t>Cap</w:t>
      </w:r>
      <w:proofErr w:type="spellEnd"/>
      <w:r w:rsidRPr="005D78CE">
        <w:t xml:space="preserve"> IV y V.</w:t>
      </w:r>
    </w:p>
    <w:p w:rsidR="00601100" w:rsidRDefault="00601100" w:rsidP="00601100">
      <w:pPr>
        <w:pStyle w:val="Textonotapie"/>
      </w:pPr>
    </w:p>
  </w:footnote>
  <w:footnote w:id="4">
    <w:p w:rsidR="00601100" w:rsidRDefault="00601100" w:rsidP="00601100">
      <w:pPr>
        <w:pStyle w:val="Textonotapie"/>
        <w:jc w:val="both"/>
        <w:rPr>
          <w:lang w:val="es-AR"/>
        </w:rPr>
      </w:pPr>
      <w:r>
        <w:rPr>
          <w:rStyle w:val="Refdenotaalpie"/>
        </w:rPr>
        <w:footnoteRef/>
      </w:r>
      <w:r w:rsidRPr="009008C1">
        <w:rPr>
          <w:lang w:val="es-AR"/>
        </w:rPr>
        <w:t xml:space="preserve"> </w:t>
      </w:r>
      <w:r>
        <w:rPr>
          <w:lang w:val="es-AR"/>
        </w:rPr>
        <w:t xml:space="preserve">CAÑAL, Diana R.; </w:t>
      </w:r>
      <w:r w:rsidRPr="009008C1">
        <w:rPr>
          <w:i/>
          <w:lang w:val="es-AR"/>
        </w:rPr>
        <w:t xml:space="preserve">El imperio de la ley: El debate  </w:t>
      </w:r>
      <w:proofErr w:type="spellStart"/>
      <w:r w:rsidRPr="009008C1">
        <w:rPr>
          <w:i/>
          <w:lang w:val="es-AR"/>
        </w:rPr>
        <w:t>Dworkin</w:t>
      </w:r>
      <w:proofErr w:type="spellEnd"/>
      <w:r w:rsidRPr="009008C1">
        <w:rPr>
          <w:i/>
          <w:lang w:val="es-AR"/>
        </w:rPr>
        <w:t xml:space="preserve"> /</w:t>
      </w:r>
      <w:proofErr w:type="spellStart"/>
      <w:r w:rsidRPr="009008C1">
        <w:rPr>
          <w:i/>
          <w:lang w:val="es-AR"/>
        </w:rPr>
        <w:t>Hart</w:t>
      </w:r>
      <w:proofErr w:type="spellEnd"/>
      <w:r>
        <w:rPr>
          <w:lang w:val="es-AR"/>
        </w:rPr>
        <w:t xml:space="preserve">; </w:t>
      </w:r>
      <w:r w:rsidRPr="009008C1">
        <w:rPr>
          <w:lang w:val="es-AR"/>
        </w:rPr>
        <w:t xml:space="preserve">REVISTA SPES Nº </w:t>
      </w:r>
      <w:proofErr w:type="gramStart"/>
      <w:r w:rsidRPr="009008C1">
        <w:rPr>
          <w:lang w:val="es-AR"/>
        </w:rPr>
        <w:t>36 :</w:t>
      </w:r>
      <w:proofErr w:type="gramEnd"/>
      <w:r w:rsidRPr="009008C1">
        <w:rPr>
          <w:lang w:val="es-AR"/>
        </w:rPr>
        <w:t xml:space="preserve"> “DERECHOS HUMANOS”, 26/09/2014, pág. 57/65.</w:t>
      </w:r>
    </w:p>
    <w:p w:rsidR="00601100" w:rsidRPr="009008C1" w:rsidRDefault="00601100" w:rsidP="00601100">
      <w:pPr>
        <w:pStyle w:val="Textonotapie"/>
        <w:jc w:val="both"/>
        <w:rPr>
          <w:lang w:val="es-AR"/>
        </w:rPr>
      </w:pPr>
    </w:p>
  </w:footnote>
  <w:footnote w:id="5">
    <w:p w:rsidR="00601100" w:rsidRDefault="00601100" w:rsidP="00601100">
      <w:pPr>
        <w:pStyle w:val="Textonotapie"/>
      </w:pPr>
      <w:r>
        <w:rPr>
          <w:rStyle w:val="Refdenotaalpie"/>
        </w:rPr>
        <w:footnoteRef/>
      </w:r>
      <w:r>
        <w:t xml:space="preserve"> Aclaro que se trata del modelo general, donde los fallos de Corte Suprema de los EEUU son vinculantes, así como el de la mayoría de los estados de la federación, contando con un pequeño grupo de continentales.</w:t>
      </w:r>
    </w:p>
    <w:p w:rsidR="00601100" w:rsidRDefault="00601100" w:rsidP="00601100">
      <w:pPr>
        <w:pStyle w:val="Textonotapie"/>
      </w:pPr>
      <w:r>
        <w:t xml:space="preserve">Ver,  </w:t>
      </w:r>
      <w:r w:rsidRPr="006C0C7A">
        <w:rPr>
          <w:i/>
          <w:lang w:val="es-ES_tradnl"/>
        </w:rPr>
        <w:t xml:space="preserve">; </w:t>
      </w:r>
      <w:r w:rsidRPr="006C0C7A">
        <w:rPr>
          <w:lang w:val="es-ES_tradnl"/>
        </w:rPr>
        <w:t>CAÑAL, Diana</w:t>
      </w:r>
      <w:r>
        <w:rPr>
          <w:lang w:val="es-ES_tradnl"/>
        </w:rPr>
        <w:t xml:space="preserve"> R.</w:t>
      </w:r>
      <w:r>
        <w:rPr>
          <w:i/>
          <w:lang w:val="es-ES_tradnl"/>
        </w:rPr>
        <w:t xml:space="preserve">; </w:t>
      </w:r>
      <w:r w:rsidRPr="00B7274E">
        <w:rPr>
          <w:i/>
          <w:lang w:val="es-ES_tradnl"/>
        </w:rPr>
        <w:t>Una</w:t>
      </w:r>
      <w:r>
        <w:rPr>
          <w:i/>
          <w:lang w:val="es-ES_tradnl"/>
        </w:rPr>
        <w:t xml:space="preserve">  Visión Pragmática del Derecho</w:t>
      </w:r>
      <w:r>
        <w:rPr>
          <w:lang w:val="es-ES_tradnl"/>
        </w:rPr>
        <w:t xml:space="preserve">, Prólogo Tulio Ortiz, </w:t>
      </w:r>
      <w:r>
        <w:rPr>
          <w:lang w:val="es-AR"/>
        </w:rPr>
        <w:t>Ed.</w:t>
      </w:r>
      <w:r w:rsidRPr="00B7274E">
        <w:rPr>
          <w:lang w:val="es-AR"/>
        </w:rPr>
        <w:t xml:space="preserve"> </w:t>
      </w:r>
      <w:proofErr w:type="spellStart"/>
      <w:r w:rsidRPr="00B7274E">
        <w:rPr>
          <w:lang w:val="es-AR"/>
        </w:rPr>
        <w:t>Quorum</w:t>
      </w:r>
      <w:proofErr w:type="spellEnd"/>
      <w:r>
        <w:rPr>
          <w:lang w:val="es-AR"/>
        </w:rPr>
        <w:t xml:space="preserve"> nov/2003</w:t>
      </w:r>
      <w:r>
        <w:rPr>
          <w:lang w:val="es-ES_tradnl"/>
        </w:rPr>
        <w:t xml:space="preserve">, </w:t>
      </w:r>
      <w:r>
        <w:t xml:space="preserve">Reeditado por </w:t>
      </w:r>
      <w:proofErr w:type="spellStart"/>
      <w:r>
        <w:t>E</w:t>
      </w:r>
      <w:r w:rsidRPr="00B7274E">
        <w:t>rrepar</w:t>
      </w:r>
      <w:proofErr w:type="spellEnd"/>
      <w:r w:rsidRPr="00B7274E">
        <w:t xml:space="preserve"> en 2011</w:t>
      </w:r>
    </w:p>
    <w:p w:rsidR="00601100" w:rsidRPr="00B7274E" w:rsidRDefault="00601100" w:rsidP="00601100">
      <w:pPr>
        <w:pStyle w:val="Textonotapie"/>
        <w:rPr>
          <w:lang w:val="es-ES_tradnl"/>
        </w:rPr>
      </w:pPr>
    </w:p>
  </w:footnote>
  <w:footnote w:id="6">
    <w:p w:rsidR="00601100" w:rsidRDefault="00601100" w:rsidP="00601100">
      <w:pPr>
        <w:pStyle w:val="Textonotapie"/>
      </w:pPr>
      <w:r>
        <w:rPr>
          <w:rStyle w:val="Refdenotaalpie"/>
        </w:rPr>
        <w:footnoteRef/>
      </w:r>
      <w:r>
        <w:t xml:space="preserve"> ROSS, </w:t>
      </w:r>
      <w:proofErr w:type="gramStart"/>
      <w:r>
        <w:t>Alf ;</w:t>
      </w:r>
      <w:proofErr w:type="gramEnd"/>
      <w:r>
        <w:t xml:space="preserve"> </w:t>
      </w:r>
      <w:r w:rsidRPr="00F9461B">
        <w:rPr>
          <w:i/>
        </w:rPr>
        <w:t>Sobre el derecho y la justicia</w:t>
      </w:r>
      <w:r>
        <w:rPr>
          <w:i/>
        </w:rPr>
        <w:t xml:space="preserve">, </w:t>
      </w:r>
      <w:r>
        <w:t>Ed. EUDEBA, 2010.</w:t>
      </w:r>
    </w:p>
    <w:p w:rsidR="00601100" w:rsidRPr="00F9461B" w:rsidRDefault="00601100" w:rsidP="00601100">
      <w:pPr>
        <w:pStyle w:val="Textonotapie"/>
      </w:pPr>
    </w:p>
  </w:footnote>
  <w:footnote w:id="7">
    <w:p w:rsidR="00601100" w:rsidRPr="00E71070" w:rsidRDefault="00601100" w:rsidP="00601100">
      <w:pPr>
        <w:pStyle w:val="Textonotapie"/>
      </w:pPr>
      <w:r>
        <w:rPr>
          <w:rStyle w:val="Refdenotaalpie"/>
        </w:rPr>
        <w:footnoteRef/>
      </w:r>
      <w:r>
        <w:t xml:space="preserve"> </w:t>
      </w:r>
      <w:r w:rsidRPr="00E71070">
        <w:t>SALA III  “Acevedo, Juan Bartolomé C/ Estancia La República S.A. Y Otro S/ Accidente – Acción Civil”, Sentencia Interlocutoria Nº  63.585, del 30 de junio de 2014.</w:t>
      </w:r>
    </w:p>
    <w:p w:rsidR="00601100" w:rsidRDefault="00601100" w:rsidP="00601100">
      <w:pPr>
        <w:pStyle w:val="Textonotapie"/>
      </w:pPr>
    </w:p>
  </w:footnote>
  <w:footnote w:id="8">
    <w:p w:rsidR="00601100" w:rsidRDefault="00601100" w:rsidP="00601100">
      <w:pPr>
        <w:pStyle w:val="Textonotapie"/>
      </w:pPr>
      <w:r>
        <w:rPr>
          <w:rStyle w:val="Refdenotaalpie"/>
        </w:rPr>
        <w:footnoteRef/>
      </w:r>
      <w:r>
        <w:t xml:space="preserve"> </w:t>
      </w:r>
      <w:proofErr w:type="spellStart"/>
      <w:r>
        <w:t>Ib</w:t>
      </w:r>
      <w:proofErr w:type="spellEnd"/>
      <w:r>
        <w:t xml:space="preserve"> 1</w:t>
      </w:r>
    </w:p>
    <w:p w:rsidR="00601100" w:rsidRPr="00E92731" w:rsidRDefault="00601100" w:rsidP="00601100">
      <w:pPr>
        <w:pStyle w:val="Textonotapie"/>
      </w:pPr>
    </w:p>
  </w:footnote>
  <w:footnote w:id="9">
    <w:p w:rsidR="00601100" w:rsidRPr="007A5A58" w:rsidRDefault="00601100" w:rsidP="00601100">
      <w:pPr>
        <w:pStyle w:val="Textonotapie"/>
        <w:jc w:val="both"/>
        <w:rPr>
          <w:rFonts w:ascii="Arial" w:hAnsi="Arial"/>
          <w:sz w:val="18"/>
        </w:rPr>
      </w:pPr>
      <w:r>
        <w:rPr>
          <w:rStyle w:val="Refdenotaalpie"/>
        </w:rPr>
        <w:footnoteRef/>
      </w:r>
      <w:r>
        <w:t xml:space="preserve"> </w:t>
      </w:r>
      <w:r w:rsidRPr="001A5515">
        <w:rPr>
          <w:rFonts w:ascii="Arial" w:hAnsi="Arial"/>
          <w:sz w:val="18"/>
          <w:lang w:val="es-AR"/>
        </w:rPr>
        <w:t>JNT Nº 74, SD Nº 2252, “Pérez, Aníbal Raúl c/ Disco S.A. s/ Despido”</w:t>
      </w:r>
      <w:r>
        <w:rPr>
          <w:rFonts w:ascii="Arial" w:hAnsi="Arial"/>
          <w:sz w:val="18"/>
          <w:lang w:val="es-AR"/>
        </w:rPr>
        <w:t xml:space="preserve">, de fecha 27 de abril del 2006, revocada por esta Sala III, decisorio que a su vez dejara sin efecto </w:t>
      </w:r>
      <w:r w:rsidRPr="001A5515">
        <w:rPr>
          <w:rFonts w:ascii="Arial" w:hAnsi="Arial"/>
          <w:sz w:val="18"/>
          <w:lang w:val="es-AR"/>
        </w:rPr>
        <w:t xml:space="preserve">la </w:t>
      </w:r>
      <w:r w:rsidRPr="00F91563">
        <w:rPr>
          <w:rFonts w:ascii="Arial" w:hAnsi="Arial"/>
          <w:sz w:val="18"/>
        </w:rPr>
        <w:t>CSJN</w:t>
      </w:r>
      <w:r>
        <w:rPr>
          <w:rFonts w:ascii="Arial" w:hAnsi="Arial"/>
          <w:sz w:val="18"/>
        </w:rPr>
        <w:t xml:space="preserve"> ratificando lo sostenido por la suscripta:</w:t>
      </w:r>
      <w:r w:rsidRPr="007A5A58">
        <w:rPr>
          <w:rFonts w:ascii="Arial" w:hAnsi="Arial"/>
          <w:sz w:val="18"/>
        </w:rPr>
        <w:t xml:space="preserve"> “ Pérez, Aníbal Raúl c/ Disco S.A.S/Despido”, de fecha 1 de septiembre de 2009</w:t>
      </w:r>
    </w:p>
    <w:p w:rsidR="00601100" w:rsidRPr="00F91563" w:rsidRDefault="00601100" w:rsidP="00601100">
      <w:pPr>
        <w:pStyle w:val="Textonotapie"/>
      </w:pPr>
    </w:p>
  </w:footnote>
  <w:footnote w:id="10">
    <w:p w:rsidR="00601100" w:rsidRPr="00FF1349" w:rsidRDefault="00601100" w:rsidP="00601100">
      <w:pPr>
        <w:pStyle w:val="Textonotapie"/>
        <w:jc w:val="both"/>
      </w:pPr>
      <w:r>
        <w:rPr>
          <w:rStyle w:val="Refdenotaalpie"/>
        </w:rPr>
        <w:footnoteRef/>
      </w:r>
      <w:r>
        <w:t xml:space="preserve"> </w:t>
      </w:r>
      <w:r w:rsidRPr="00FF1349">
        <w:t>KEMELMAJER DE CARLUCCI, Aída</w:t>
      </w:r>
      <w:r w:rsidRPr="00FF1349">
        <w:rPr>
          <w:b/>
        </w:rPr>
        <w:t xml:space="preserve">, </w:t>
      </w:r>
      <w:r w:rsidRPr="00FF1349">
        <w:t xml:space="preserve">Prólogo al  </w:t>
      </w:r>
      <w:r w:rsidRPr="00FF1349">
        <w:rPr>
          <w:i/>
        </w:rPr>
        <w:t>Código Civil y Comercial de la Nación comentado</w:t>
      </w:r>
      <w:r w:rsidRPr="00FF1349">
        <w:t xml:space="preserve"> / Gustavo Caramelo; Sebastián Picasso; Marisa Herrera. - 1a ed. - </w:t>
      </w:r>
      <w:r>
        <w:t>Ciudad Autónoma de Buenos Aires</w:t>
      </w:r>
      <w:r w:rsidRPr="00FF1349">
        <w:t>:</w:t>
      </w:r>
      <w:r>
        <w:t xml:space="preserve"> </w:t>
      </w:r>
      <w:proofErr w:type="spellStart"/>
      <w:r w:rsidRPr="00FF1349">
        <w:t>Infojus</w:t>
      </w:r>
      <w:proofErr w:type="spellEnd"/>
      <w:r w:rsidRPr="00FF1349">
        <w:t>, 2015.</w:t>
      </w:r>
      <w:r>
        <w:t xml:space="preserve"> Ver sentencia “</w:t>
      </w:r>
      <w:proofErr w:type="spellStart"/>
      <w:r>
        <w:t>Fiorino</w:t>
      </w:r>
      <w:proofErr w:type="spellEnd"/>
      <w:r>
        <w:t>” ib. 5.</w:t>
      </w:r>
    </w:p>
    <w:p w:rsidR="00601100" w:rsidRDefault="00601100" w:rsidP="00601100">
      <w:pPr>
        <w:pStyle w:val="Textonotapie"/>
      </w:pPr>
    </w:p>
  </w:footnote>
  <w:footnote w:id="11">
    <w:p w:rsidR="00601100" w:rsidRPr="00A25B61" w:rsidRDefault="00601100" w:rsidP="00601100">
      <w:pPr>
        <w:pStyle w:val="Textonotapie"/>
        <w:jc w:val="both"/>
        <w:rPr>
          <w:lang w:val="pt-BR"/>
        </w:rPr>
      </w:pPr>
      <w:r>
        <w:rPr>
          <w:rStyle w:val="Refdenotaalpie"/>
        </w:rPr>
        <w:footnoteRef/>
      </w:r>
      <w:r>
        <w:t xml:space="preserve"> </w:t>
      </w:r>
      <w:r w:rsidRPr="00A04D4E">
        <w:t xml:space="preserve">CAÑAL, Diana R., </w:t>
      </w:r>
      <w:r w:rsidRPr="00A04D4E">
        <w:rPr>
          <w:i/>
        </w:rPr>
        <w:t>“</w:t>
      </w:r>
      <w:r w:rsidRPr="00A04D4E">
        <w:rPr>
          <w:i/>
          <w:lang w:val="es-MX"/>
        </w:rPr>
        <w:t xml:space="preserve">El fenómeno del desajuste entre los paradigmas normativos e interpretativos en el Derecho.  El caso de los derechos humanos fundamentales en América Latina. </w:t>
      </w:r>
      <w:r w:rsidRPr="00A04D4E">
        <w:rPr>
          <w:i/>
          <w:lang w:val="pt-BR"/>
        </w:rPr>
        <w:t xml:space="preserve">La </w:t>
      </w:r>
      <w:proofErr w:type="spellStart"/>
      <w:r w:rsidRPr="00A04D4E">
        <w:rPr>
          <w:i/>
          <w:lang w:val="pt-BR"/>
        </w:rPr>
        <w:t>cuestión</w:t>
      </w:r>
      <w:proofErr w:type="spellEnd"/>
      <w:r w:rsidRPr="00A04D4E">
        <w:rPr>
          <w:i/>
          <w:lang w:val="pt-BR"/>
        </w:rPr>
        <w:t xml:space="preserve"> </w:t>
      </w:r>
      <w:proofErr w:type="spellStart"/>
      <w:proofErr w:type="gramStart"/>
      <w:r w:rsidRPr="00A04D4E">
        <w:rPr>
          <w:i/>
          <w:lang w:val="pt-BR"/>
        </w:rPr>
        <w:t>del</w:t>
      </w:r>
      <w:proofErr w:type="spellEnd"/>
      <w:proofErr w:type="gramEnd"/>
      <w:r w:rsidRPr="00A04D4E">
        <w:rPr>
          <w:i/>
          <w:lang w:val="pt-BR"/>
        </w:rPr>
        <w:t xml:space="preserve"> </w:t>
      </w:r>
      <w:proofErr w:type="spellStart"/>
      <w:r w:rsidRPr="00A04D4E">
        <w:rPr>
          <w:i/>
          <w:lang w:val="pt-BR"/>
        </w:rPr>
        <w:t>trabajo</w:t>
      </w:r>
      <w:proofErr w:type="spellEnd"/>
      <w:r w:rsidRPr="00A04D4E">
        <w:rPr>
          <w:i/>
          <w:lang w:val="pt-BR"/>
        </w:rPr>
        <w:t xml:space="preserve"> y </w:t>
      </w:r>
      <w:proofErr w:type="spellStart"/>
      <w:r w:rsidRPr="00A04D4E">
        <w:rPr>
          <w:i/>
          <w:lang w:val="pt-BR"/>
        </w:rPr>
        <w:t>los</w:t>
      </w:r>
      <w:proofErr w:type="spellEnd"/>
      <w:r w:rsidRPr="00A04D4E">
        <w:rPr>
          <w:i/>
          <w:lang w:val="pt-BR"/>
        </w:rPr>
        <w:t xml:space="preserve"> problemas </w:t>
      </w:r>
      <w:proofErr w:type="spellStart"/>
      <w:r w:rsidRPr="00A04D4E">
        <w:rPr>
          <w:i/>
          <w:lang w:val="pt-BR"/>
        </w:rPr>
        <w:t>procesales</w:t>
      </w:r>
      <w:proofErr w:type="spellEnd"/>
      <w:r w:rsidRPr="00A04D4E">
        <w:rPr>
          <w:i/>
          <w:lang w:val="pt-BR"/>
        </w:rPr>
        <w:t>”</w:t>
      </w:r>
      <w:r w:rsidRPr="00A04D4E">
        <w:rPr>
          <w:lang w:val="pt-BR"/>
        </w:rPr>
        <w:t xml:space="preserve">; </w:t>
      </w:r>
      <w:r w:rsidRPr="00A04D4E">
        <w:rPr>
          <w:bCs/>
          <w:lang w:val="pt-BR"/>
        </w:rPr>
        <w:t xml:space="preserve">Publicado </w:t>
      </w:r>
      <w:proofErr w:type="spellStart"/>
      <w:r w:rsidRPr="00A04D4E">
        <w:rPr>
          <w:bCs/>
          <w:lang w:val="pt-BR"/>
        </w:rPr>
        <w:t>en</w:t>
      </w:r>
      <w:proofErr w:type="spellEnd"/>
      <w:r w:rsidRPr="00A04D4E">
        <w:rPr>
          <w:bCs/>
          <w:lang w:val="pt-BR"/>
        </w:rPr>
        <w:t xml:space="preserve"> Libro “</w:t>
      </w:r>
      <w:r w:rsidRPr="00A04D4E">
        <w:rPr>
          <w:lang w:val="pt-BR"/>
        </w:rPr>
        <w:t xml:space="preserve">Temas de direito do trabalho, processo do trabalho e direito à saúde: abordagem à luz dos princípios jurídicos e dos direitos fundamentais", Ed. </w:t>
      </w:r>
      <w:r w:rsidRPr="00B8182D">
        <w:rPr>
          <w:lang w:val="pt-BR"/>
        </w:rPr>
        <w:t xml:space="preserve">Dois de Julho, </w:t>
      </w:r>
      <w:proofErr w:type="spellStart"/>
      <w:r w:rsidRPr="00B8182D">
        <w:rPr>
          <w:lang w:val="pt-BR"/>
        </w:rPr>
        <w:t>Bahía</w:t>
      </w:r>
      <w:proofErr w:type="spellEnd"/>
      <w:r w:rsidRPr="00B8182D">
        <w:rPr>
          <w:lang w:val="pt-BR"/>
        </w:rPr>
        <w:t>, Brasil, 2015.</w:t>
      </w:r>
    </w:p>
    <w:p w:rsidR="00601100" w:rsidRPr="00B8182D" w:rsidRDefault="00601100" w:rsidP="00601100">
      <w:pPr>
        <w:pStyle w:val="Textonotapie"/>
        <w:jc w:val="both"/>
        <w:rPr>
          <w:lang w:val="pt-BR"/>
        </w:rPr>
      </w:pPr>
    </w:p>
    <w:p w:rsidR="00601100" w:rsidRPr="007B0F40" w:rsidRDefault="00601100" w:rsidP="00601100">
      <w:pPr>
        <w:pStyle w:val="Textonotapie"/>
        <w:jc w:val="both"/>
        <w:rPr>
          <w:lang w:val="es-AR"/>
        </w:rPr>
      </w:pPr>
      <w:r w:rsidRPr="007B0F40">
        <w:rPr>
          <w:lang w:val="es-AR"/>
        </w:rPr>
        <w:t>CAÑAL, Diana R., “</w:t>
      </w:r>
      <w:r w:rsidRPr="007B0F40">
        <w:rPr>
          <w:i/>
          <w:lang w:val="es-AR"/>
        </w:rPr>
        <w:t>Los paradigmas normativos e interpretativos: relojes que suelen atrasar”</w:t>
      </w:r>
      <w:r w:rsidRPr="007B0F40">
        <w:rPr>
          <w:lang w:val="es-AR"/>
        </w:rPr>
        <w:t>, 12º Jornadas de Los cambios de paradigma y sus efectos, su abordaje interdisciplinario, Revista Spes Nro. 34, Octubre 2012.</w:t>
      </w:r>
    </w:p>
    <w:p w:rsidR="00601100" w:rsidRPr="007B0F40" w:rsidRDefault="00601100" w:rsidP="00601100">
      <w:pPr>
        <w:pStyle w:val="Textonotapie"/>
        <w:rPr>
          <w:lang w:val="es-AR"/>
        </w:rPr>
      </w:pPr>
    </w:p>
    <w:p w:rsidR="00601100" w:rsidRPr="00DC359C" w:rsidRDefault="00601100" w:rsidP="00601100">
      <w:pPr>
        <w:pStyle w:val="Textonotapie"/>
        <w:jc w:val="both"/>
        <w:rPr>
          <w:b/>
        </w:rPr>
      </w:pPr>
      <w:r>
        <w:rPr>
          <w:lang w:val="es-AR"/>
        </w:rPr>
        <w:t xml:space="preserve">Primera Tesis Doctoral </w:t>
      </w:r>
      <w:r w:rsidRPr="00DC359C">
        <w:rPr>
          <w:b/>
        </w:rPr>
        <w:t>en Derecho (Teoría General y Filosofía del Derecho)</w:t>
      </w:r>
      <w:r>
        <w:rPr>
          <w:b/>
        </w:rPr>
        <w:t xml:space="preserve"> </w:t>
      </w:r>
      <w:r>
        <w:rPr>
          <w:lang w:val="es-AR"/>
        </w:rPr>
        <w:t xml:space="preserve">–UBA-; </w:t>
      </w:r>
      <w:r w:rsidRPr="003A1C04">
        <w:rPr>
          <w:lang w:val="es-AR"/>
        </w:rPr>
        <w:t>CAÑAL, Diana R., “</w:t>
      </w:r>
      <w:r w:rsidRPr="003A1C04">
        <w:rPr>
          <w:i/>
          <w:lang w:val="es-AR"/>
        </w:rPr>
        <w:t xml:space="preserve">Decisiones Judiciales. La relación entre normas de fondo y forma: Una mirada desde el Derecho del Trabajo”, </w:t>
      </w:r>
      <w:r w:rsidRPr="003A1C04">
        <w:rPr>
          <w:lang w:val="es-AR"/>
        </w:rPr>
        <w:t>Ed. ERREPAR, Octubre 2011.</w:t>
      </w:r>
      <w:r>
        <w:rPr>
          <w:lang w:val="es-AR"/>
        </w:rPr>
        <w:t xml:space="preserve"> </w:t>
      </w:r>
    </w:p>
    <w:p w:rsidR="00601100" w:rsidRPr="00C76AA6" w:rsidRDefault="00601100" w:rsidP="00601100">
      <w:pPr>
        <w:pStyle w:val="Textonotapie"/>
        <w:jc w:val="both"/>
      </w:pPr>
    </w:p>
  </w:footnote>
  <w:footnote w:id="12">
    <w:p w:rsidR="00601100" w:rsidRDefault="00601100" w:rsidP="00601100">
      <w:pPr>
        <w:pStyle w:val="Textonotapie"/>
        <w:jc w:val="both"/>
      </w:pPr>
      <w:r>
        <w:rPr>
          <w:rStyle w:val="Refdenotaalpie"/>
        </w:rPr>
        <w:footnoteRef/>
      </w:r>
      <w:r>
        <w:t xml:space="preserve"> </w:t>
      </w:r>
      <w:r w:rsidRPr="0052313D">
        <w:t>FAVOREAU, L</w:t>
      </w:r>
      <w:r>
        <w:t>ouis</w:t>
      </w:r>
      <w:r w:rsidRPr="0052313D">
        <w:t xml:space="preserve">, “Legalidad y Constitucionalidad. La </w:t>
      </w:r>
      <w:proofErr w:type="spellStart"/>
      <w:r w:rsidRPr="0052313D">
        <w:t>Constitucionalización</w:t>
      </w:r>
      <w:proofErr w:type="spellEnd"/>
      <w:r w:rsidRPr="0052313D">
        <w:t xml:space="preserve"> del Derecho”, Volumen 59,  Temas de Derecho Público. Universidad Externado de Colombia”.</w:t>
      </w:r>
    </w:p>
    <w:p w:rsidR="00601100" w:rsidRPr="00FB3C04" w:rsidRDefault="00601100" w:rsidP="00601100">
      <w:pPr>
        <w:pStyle w:val="Textonotapie"/>
        <w:jc w:val="both"/>
      </w:pPr>
    </w:p>
  </w:footnote>
  <w:footnote w:id="13">
    <w:p w:rsidR="00601100" w:rsidRPr="00AF1567" w:rsidRDefault="00601100" w:rsidP="00601100">
      <w:pPr>
        <w:pStyle w:val="Textonotapie"/>
        <w:rPr>
          <w:sz w:val="18"/>
          <w:szCs w:val="18"/>
        </w:rPr>
      </w:pPr>
      <w:r>
        <w:rPr>
          <w:rStyle w:val="Refdenotaalpie"/>
        </w:rPr>
        <w:footnoteRef/>
      </w:r>
      <w:r>
        <w:t xml:space="preserve"> </w:t>
      </w:r>
      <w:r w:rsidRPr="00AF1567">
        <w:rPr>
          <w:sz w:val="18"/>
          <w:szCs w:val="18"/>
        </w:rPr>
        <w:t>Principio de Progresividad incorporado constitucionalmente, en los incisos 19, 23 y 22 del artículo 75; en el P.I.D.E.S.C. -arts. 5.2 y 2.1-; en la Convención Americana sobre Derechos Humanos -art. 26-; y el Protocolo de San Salvador Adicional a la  Convención Americana -art. 1º</w:t>
      </w:r>
      <w:r>
        <w:rPr>
          <w:sz w:val="18"/>
          <w:szCs w:val="18"/>
        </w:rPr>
        <w:t>-</w:t>
      </w:r>
    </w:p>
    <w:p w:rsidR="00601100" w:rsidRPr="00AF1567" w:rsidRDefault="00601100" w:rsidP="00601100">
      <w:pPr>
        <w:pStyle w:val="Textonotapie"/>
        <w:rPr>
          <w:sz w:val="18"/>
          <w:szCs w:val="18"/>
        </w:rPr>
      </w:pPr>
    </w:p>
    <w:p w:rsidR="00601100" w:rsidRPr="00AF1567" w:rsidRDefault="00601100" w:rsidP="00601100">
      <w:pPr>
        <w:pStyle w:val="Textonotapie"/>
        <w:jc w:val="both"/>
        <w:rPr>
          <w:sz w:val="18"/>
          <w:szCs w:val="18"/>
        </w:rPr>
      </w:pPr>
      <w:r w:rsidRPr="00AF1567">
        <w:rPr>
          <w:sz w:val="18"/>
          <w:szCs w:val="18"/>
        </w:rPr>
        <w:t xml:space="preserve"> </w:t>
      </w:r>
      <w:r w:rsidRPr="0082732F">
        <w:rPr>
          <w:sz w:val="18"/>
          <w:szCs w:val="18"/>
        </w:rPr>
        <w:t xml:space="preserve">Fallo “Acevedo”: </w:t>
      </w:r>
      <w:r w:rsidRPr="00AF1567">
        <w:rPr>
          <w:sz w:val="18"/>
          <w:szCs w:val="18"/>
        </w:rPr>
        <w:t>“</w:t>
      </w:r>
      <w:r>
        <w:rPr>
          <w:sz w:val="18"/>
          <w:szCs w:val="18"/>
        </w:rPr>
        <w:t>(…)</w:t>
      </w:r>
      <w:r w:rsidRPr="00AF1567">
        <w:rPr>
          <w:sz w:val="18"/>
          <w:szCs w:val="18"/>
        </w:rPr>
        <w:t xml:space="preserve"> De manera que la solución, habremos de encontrarla en el juego entablado entre tres principios centrales del paradigma vigente: 1) El del debido proceso, que implica la existencia de un juez natural,  2) el </w:t>
      </w:r>
      <w:r w:rsidRPr="009C39A2">
        <w:rPr>
          <w:i/>
          <w:sz w:val="18"/>
          <w:szCs w:val="18"/>
        </w:rPr>
        <w:t xml:space="preserve">pro </w:t>
      </w:r>
      <w:proofErr w:type="spellStart"/>
      <w:r w:rsidRPr="009C39A2">
        <w:rPr>
          <w:i/>
          <w:sz w:val="18"/>
          <w:szCs w:val="18"/>
        </w:rPr>
        <w:t>homine</w:t>
      </w:r>
      <w:proofErr w:type="spellEnd"/>
      <w:r w:rsidRPr="00AF1567">
        <w:rPr>
          <w:sz w:val="18"/>
          <w:szCs w:val="18"/>
        </w:rPr>
        <w:t xml:space="preserve"> y su necesaria consecuencia, 3) el principio de progresividad”.</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“Antes de adentrarnos en su análisis, vale aclarar qué es un principio. Entenderé por tal a una norma jurídica, integrada por la conducta descripta (antecedente), y su consecuencia jurídica (consecuente), pudiendo encontrarse ambas ubicadas en diferentes partes del sistema jurídico, básicamente de tipo continental.  De ello se deriva que estamos ante un sistema cerrado, en el que rige la regla de clausura (art.19 CN)”.</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“Esto, es muy importante, porque convierte a los principios en normas jurídicas y, en consecuencia, obligatorios”.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“Luego, en un sistema de esta especie, tenemos normas de tres tipos si se quiere.  Sustantivas o de fondo, adjetivas o de forma (cuya caracterización fue el eje de la confrontación intelectual entre el dictamen de la Fiscalía General y el primer voto en la sentencia “</w:t>
      </w:r>
      <w:proofErr w:type="spellStart"/>
      <w:r w:rsidRPr="00AF1567">
        <w:rPr>
          <w:sz w:val="18"/>
          <w:szCs w:val="18"/>
        </w:rPr>
        <w:t>Virgili</w:t>
      </w:r>
      <w:proofErr w:type="spellEnd"/>
      <w:r w:rsidRPr="00AF1567">
        <w:rPr>
          <w:sz w:val="18"/>
          <w:szCs w:val="18"/>
        </w:rPr>
        <w:t>” citada precedentemente), y una suerte de “súper normas”, que hasta donde alcanzo a visualizar hoy, serían de carácter adjetivo. Ni más, ni menos, que los principios”.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“Porque cuando el intérprete “anda como perdido”, en la enramada del derecho, lo que lo orienta es subir de nivel, y buscar qué pauta, qué indicación, le brindan los principios”.</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“Así, si dudamos entre un derecho constitucional y otro, en pos de verificar su jerarquía, la propia organización interna de la Constitución Nacional, en el marco del paradigma de los DDHHFF, le indicará a través de un principio (pro </w:t>
      </w:r>
      <w:proofErr w:type="spellStart"/>
      <w:r w:rsidRPr="00AF1567">
        <w:rPr>
          <w:sz w:val="18"/>
          <w:szCs w:val="18"/>
        </w:rPr>
        <w:t>homine</w:t>
      </w:r>
      <w:proofErr w:type="spellEnd"/>
      <w:r w:rsidRPr="00AF1567">
        <w:rPr>
          <w:sz w:val="18"/>
          <w:szCs w:val="18"/>
        </w:rPr>
        <w:t>), qué camino debe seguir. De allí que esta Corte pudo decir en “</w:t>
      </w:r>
      <w:proofErr w:type="spellStart"/>
      <w:r w:rsidRPr="00AF1567">
        <w:rPr>
          <w:sz w:val="18"/>
          <w:szCs w:val="18"/>
        </w:rPr>
        <w:t>Vizotti</w:t>
      </w:r>
      <w:proofErr w:type="spellEnd"/>
      <w:r w:rsidRPr="00AF1567">
        <w:rPr>
          <w:sz w:val="18"/>
          <w:szCs w:val="18"/>
        </w:rPr>
        <w:t xml:space="preserve">”, que el trabajador era “el señor de todos los mercados”, lo que claramente implica privilegiar el artículo 14 bis por sobre el 17 de la Constitución Nacional. Porque es inexacto, lo reitero, que los valores constitucionales están todos en un mismo nivel, lo que solo podía decirse de un periodo de “legalismo constitucional” (esta Sala III, in re: “A.A.M. c/ Espumas del Plata SRL s/ medida cautelar”, S.I. Nº 62.493 del 31.07.12, y en sentido contrario, nota al fallo mencionado: “Reintegro de la Obra Social al ex empleado que padece HIV, por Emiliano A. </w:t>
      </w:r>
      <w:proofErr w:type="spellStart"/>
      <w:r w:rsidRPr="00AF1567">
        <w:rPr>
          <w:sz w:val="18"/>
          <w:szCs w:val="18"/>
        </w:rPr>
        <w:t>Gabet</w:t>
      </w:r>
      <w:proofErr w:type="spellEnd"/>
      <w:r w:rsidRPr="00AF1567">
        <w:rPr>
          <w:sz w:val="18"/>
          <w:szCs w:val="18"/>
        </w:rPr>
        <w:t xml:space="preserve">, pub. en Revista Derecho Del Trabajo, Nº 11, noviembre de 2012, </w:t>
      </w:r>
      <w:proofErr w:type="spellStart"/>
      <w:r w:rsidRPr="00AF1567">
        <w:rPr>
          <w:sz w:val="18"/>
          <w:szCs w:val="18"/>
        </w:rPr>
        <w:t>pag</w:t>
      </w:r>
      <w:proofErr w:type="spellEnd"/>
      <w:r w:rsidRPr="00AF1567">
        <w:rPr>
          <w:sz w:val="18"/>
          <w:szCs w:val="18"/>
        </w:rPr>
        <w:t>. 3043), donde se  sostuviera que “el derecho a la salud tiene el mismo rango constitucional que el resto de los derechos y garantías previstos en la Constitución Nacional”.</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“Ciertamente, esta jerarquía es muy distinta de la que podría pensarse en un constitucionalismo clásico (</w:t>
      </w:r>
      <w:proofErr w:type="spellStart"/>
      <w:r w:rsidRPr="00AF1567">
        <w:rPr>
          <w:sz w:val="18"/>
          <w:szCs w:val="18"/>
        </w:rPr>
        <w:t>Favoreau</w:t>
      </w:r>
      <w:proofErr w:type="spellEnd"/>
      <w:r w:rsidRPr="00AF1567">
        <w:rPr>
          <w:sz w:val="18"/>
          <w:szCs w:val="18"/>
        </w:rPr>
        <w:t xml:space="preserve">, Louis, “Legalidad y Constitucionalidad. La </w:t>
      </w:r>
      <w:proofErr w:type="spellStart"/>
      <w:r w:rsidRPr="00AF1567">
        <w:rPr>
          <w:sz w:val="18"/>
          <w:szCs w:val="18"/>
        </w:rPr>
        <w:t>Constitucionalización</w:t>
      </w:r>
      <w:proofErr w:type="spellEnd"/>
      <w:r w:rsidRPr="00AF1567">
        <w:rPr>
          <w:sz w:val="18"/>
          <w:szCs w:val="18"/>
        </w:rPr>
        <w:t xml:space="preserve"> del Derecho” Volumen 59,  Temas de Derecho Público. Universidad Externado de Colombia)”.</w:t>
      </w:r>
    </w:p>
    <w:p w:rsidR="00601100" w:rsidRPr="00AF1567" w:rsidRDefault="00601100" w:rsidP="00601100">
      <w:pPr>
        <w:pStyle w:val="Textonotapie"/>
        <w:jc w:val="both"/>
        <w:rPr>
          <w:sz w:val="18"/>
          <w:szCs w:val="18"/>
        </w:rPr>
      </w:pPr>
      <w:r w:rsidRPr="00AF1567">
        <w:rPr>
          <w:sz w:val="18"/>
          <w:szCs w:val="18"/>
        </w:rPr>
        <w:t xml:space="preserve"> </w:t>
      </w:r>
    </w:p>
    <w:p w:rsidR="00601100" w:rsidRPr="00AF1567" w:rsidRDefault="00601100" w:rsidP="00601100">
      <w:pPr>
        <w:pStyle w:val="Textonotapie"/>
        <w:jc w:val="both"/>
        <w:rPr>
          <w:sz w:val="18"/>
          <w:szCs w:val="18"/>
        </w:rPr>
      </w:pPr>
      <w:r w:rsidRPr="00AF1567">
        <w:rPr>
          <w:sz w:val="18"/>
          <w:szCs w:val="18"/>
        </w:rPr>
        <w:t xml:space="preserve"> “Y si esta duda se le perfila al juez en un nivel inferior al constitucional,  (en nuestro caso, el de la normativa laboral), deberá encontrar en principio la solución en los principios de la disciplina, que de tal suerte resultan, jerárquicamente superiores, y si no encuentra la salida, subirá a la Constitución”. </w:t>
      </w:r>
    </w:p>
    <w:p w:rsidR="00601100" w:rsidRPr="00AF1567" w:rsidRDefault="00601100" w:rsidP="00601100">
      <w:pPr>
        <w:pStyle w:val="Textonotapie"/>
        <w:jc w:val="both"/>
        <w:rPr>
          <w:sz w:val="18"/>
          <w:szCs w:val="18"/>
        </w:rPr>
      </w:pPr>
      <w:r w:rsidRPr="00AF1567">
        <w:rPr>
          <w:sz w:val="18"/>
          <w:szCs w:val="18"/>
        </w:rPr>
        <w:t xml:space="preserve"> </w:t>
      </w:r>
    </w:p>
    <w:p w:rsidR="00601100" w:rsidRDefault="00601100" w:rsidP="00601100">
      <w:pPr>
        <w:pStyle w:val="Textonotapie"/>
        <w:jc w:val="both"/>
        <w:rPr>
          <w:sz w:val="18"/>
          <w:szCs w:val="18"/>
        </w:rPr>
      </w:pPr>
      <w:r w:rsidRPr="00AF1567">
        <w:rPr>
          <w:sz w:val="18"/>
          <w:szCs w:val="18"/>
        </w:rPr>
        <w:t xml:space="preserve"> “De modo que los principios tienen la dura tarea de orientar al intérprete ante la duda. Pero no de manera disponible, sino obligatoria. Porque son ni más ni menos que normas “jurídicas”,  con la  previsión (en alguna parte del sistema que, recordemos, se presume cerrado) de consecuencias para quienes no los apliquen. Entre otras, la máxima posible, el juicio político, dado que el juez está obligado a aplicar las normas con arreglo a la Constitución Nacional, así como a declarar la inconstitucionalidad de oficio de aquéllas contrarias a la misma, dado el control difuso de constitucionalidad que rige a este sistema continental</w:t>
      </w:r>
      <w:r>
        <w:rPr>
          <w:sz w:val="18"/>
          <w:szCs w:val="18"/>
        </w:rPr>
        <w:t xml:space="preserve"> (…)</w:t>
      </w:r>
      <w:r w:rsidRPr="00AF1567">
        <w:rPr>
          <w:sz w:val="18"/>
          <w:szCs w:val="18"/>
        </w:rPr>
        <w:t>”.</w:t>
      </w:r>
    </w:p>
    <w:p w:rsidR="00601100" w:rsidRDefault="00601100" w:rsidP="00601100">
      <w:pPr>
        <w:pStyle w:val="Textonotapie"/>
        <w:jc w:val="both"/>
      </w:pPr>
    </w:p>
  </w:footnote>
  <w:footnote w:id="14">
    <w:p w:rsidR="00601100" w:rsidRPr="000E6AC5" w:rsidRDefault="00601100" w:rsidP="00601100">
      <w:pPr>
        <w:pStyle w:val="Textonotapie"/>
        <w:jc w:val="both"/>
      </w:pPr>
      <w:r>
        <w:rPr>
          <w:rStyle w:val="Refdenotaalpie"/>
        </w:rPr>
        <w:footnoteRef/>
      </w:r>
      <w:r>
        <w:t xml:space="preserve"> KEMELMAJER DE CARLUCCI, Aída</w:t>
      </w:r>
      <w:r w:rsidRPr="000E6AC5">
        <w:rPr>
          <w:b/>
        </w:rPr>
        <w:t xml:space="preserve">, </w:t>
      </w:r>
      <w:r w:rsidRPr="000E6AC5">
        <w:t xml:space="preserve">Prólogo al  </w:t>
      </w:r>
      <w:r w:rsidRPr="000E6AC5">
        <w:rPr>
          <w:i/>
        </w:rPr>
        <w:t>Código Civil y Comercial de la Nación comentado</w:t>
      </w:r>
      <w:r w:rsidRPr="000E6AC5">
        <w:t xml:space="preserve"> / Gustavo Caramelo; Sebastián Picasso; Marisa Herrera. - 1a ed. - Ciudad Autónoma de Buenos </w:t>
      </w:r>
      <w:proofErr w:type="gramStart"/>
      <w:r w:rsidRPr="000E6AC5">
        <w:t>Aires :</w:t>
      </w:r>
      <w:proofErr w:type="spellStart"/>
      <w:r w:rsidRPr="000E6AC5">
        <w:t>Infojus</w:t>
      </w:r>
      <w:proofErr w:type="spellEnd"/>
      <w:proofErr w:type="gramEnd"/>
      <w:r w:rsidRPr="000E6AC5">
        <w:t>, 2015.</w:t>
      </w:r>
    </w:p>
    <w:p w:rsidR="00601100" w:rsidRPr="000E6AC5" w:rsidRDefault="00601100" w:rsidP="00601100">
      <w:pPr>
        <w:pStyle w:val="Textonotapie"/>
        <w:jc w:val="both"/>
      </w:pPr>
    </w:p>
  </w:footnote>
  <w:footnote w:id="15">
    <w:p w:rsidR="00601100" w:rsidRDefault="00601100" w:rsidP="00601100">
      <w:pPr>
        <w:pStyle w:val="Textonotapie"/>
        <w:jc w:val="both"/>
      </w:pPr>
      <w:r>
        <w:rPr>
          <w:rStyle w:val="Refdenotaalpie"/>
        </w:rPr>
        <w:footnoteRef/>
      </w:r>
      <w:r>
        <w:t xml:space="preserve">CASSAGNE, Juan Carlos; </w:t>
      </w:r>
      <w:r>
        <w:rPr>
          <w:i/>
        </w:rPr>
        <w:t xml:space="preserve">El Acceso </w:t>
      </w:r>
      <w:r w:rsidRPr="00D85F29">
        <w:rPr>
          <w:i/>
        </w:rPr>
        <w:t>a</w:t>
      </w:r>
      <w:r>
        <w:rPr>
          <w:i/>
        </w:rPr>
        <w:t xml:space="preserve"> la</w:t>
      </w:r>
      <w:r w:rsidRPr="00D85F29">
        <w:rPr>
          <w:i/>
        </w:rPr>
        <w:t xml:space="preserve"> Justicia Administrativa</w:t>
      </w:r>
      <w:r>
        <w:t xml:space="preserve"> , </w:t>
      </w:r>
      <w:r w:rsidRPr="00BE7B0F">
        <w:t>Ponencia presentada al Seminario Internacional de Derecho Administrativo realizado en la Facultad de Derecho y Ciencias Sociales de la Universidad de Buenos Aires, durante los días 29, 30 y 31 de marzo de 2004.</w:t>
      </w:r>
    </w:p>
    <w:p w:rsidR="00601100" w:rsidRDefault="00601100" w:rsidP="00601100">
      <w:pPr>
        <w:pStyle w:val="Textonotapie"/>
        <w:jc w:val="both"/>
      </w:pPr>
    </w:p>
  </w:footnote>
  <w:footnote w:id="16">
    <w:p w:rsidR="00601100" w:rsidRDefault="00601100" w:rsidP="00601100">
      <w:pPr>
        <w:pStyle w:val="Textonotapie"/>
        <w:jc w:val="both"/>
      </w:pPr>
      <w:r>
        <w:rPr>
          <w:rStyle w:val="Refdenotaalpie"/>
        </w:rPr>
        <w:footnoteRef/>
      </w:r>
      <w:r w:rsidRPr="00E5791E">
        <w:t>ALBERDI, Juan Bautista, Obras completas de J. B. Alberdi, t. V, “Estudios sobre la Constitución Argentina de 1853”, p. 148, Buenos Aires, 1886. Al respecto, señala Alberdi: “Ha resultado de ahí que el Poder Ejecutivo argentino, que forma la facción prominente de la Constitución de 1853 y determina toda su fisonomía, es completamente diferente del Ejecutivo de los Estados Unidos de Norte-América. No hay más que colocar uno enfrente de otro y contar sus atribuciones, para ver que se asemejan tanto como un huevo a una castaña. Y así debía de ser. Era nuestro ejecutivo en cierto modo, y en especial respecto de los medios de acción, una especie de reconstrucción del gobierno central, que había existido por dos siglos. Mil veces más se asemeja al de Chile que al de Estados Unidos, a pesar de la diversidad de nombres; y debía preferirse la imitación de lo que era más análogo y adaptable a nuestra condición de ex colonia española y de habitantes de la América del Sur”</w:t>
      </w:r>
    </w:p>
  </w:footnote>
  <w:footnote w:id="17">
    <w:p w:rsidR="00601100" w:rsidRDefault="00601100" w:rsidP="00601100">
      <w:pPr>
        <w:pStyle w:val="Textonotapie"/>
      </w:pPr>
      <w:r>
        <w:rPr>
          <w:rStyle w:val="Refdenotaalpie"/>
        </w:rPr>
        <w:footnoteRef/>
      </w:r>
      <w:r>
        <w:t xml:space="preserve"> Ib. 11</w:t>
      </w:r>
    </w:p>
  </w:footnote>
  <w:footnote w:id="18">
    <w:p w:rsidR="00601100" w:rsidRDefault="00601100" w:rsidP="00601100">
      <w:pPr>
        <w:pStyle w:val="Textonotapie"/>
        <w:jc w:val="both"/>
      </w:pPr>
      <w:r>
        <w:rPr>
          <w:rStyle w:val="Refdenotaalpie"/>
        </w:rPr>
        <w:footnoteRef/>
      </w:r>
      <w:r>
        <w:t xml:space="preserve"> </w:t>
      </w:r>
      <w:r w:rsidRPr="008456E2">
        <w:t>HUTCHINSON, Tomás,  El sistema argentino de control judicial de la Administración; Anales de Derecho Administrativo, Pág. 152/179</w:t>
      </w:r>
    </w:p>
  </w:footnote>
  <w:footnote w:id="19">
    <w:p w:rsidR="00601100" w:rsidRPr="00410619" w:rsidRDefault="00601100" w:rsidP="00601100">
      <w:pPr>
        <w:pStyle w:val="Textonotapie"/>
        <w:jc w:val="both"/>
      </w:pPr>
      <w:r>
        <w:rPr>
          <w:rStyle w:val="Refdenotaalpie"/>
        </w:rPr>
        <w:footnoteRef/>
      </w:r>
      <w:r>
        <w:t xml:space="preserve"> </w:t>
      </w:r>
      <w:r w:rsidRPr="00410619">
        <w:t>Ib. 8</w:t>
      </w:r>
    </w:p>
  </w:footnote>
  <w:footnote w:id="20">
    <w:p w:rsidR="00601100" w:rsidRPr="00601100" w:rsidRDefault="00601100" w:rsidP="00601100">
      <w:pPr>
        <w:pStyle w:val="Textonotapie"/>
        <w:jc w:val="both"/>
        <w:rPr>
          <w:rFonts w:ascii="Arial" w:hAnsi="Arial" w:cs="Calibri"/>
          <w:color w:val="000000"/>
          <w:sz w:val="18"/>
          <w:shd w:val="clear" w:color="auto" w:fill="FFFFFF"/>
          <w:lang w:val="es-AR" w:eastAsia="es-ES"/>
        </w:rPr>
      </w:pPr>
      <w:r>
        <w:rPr>
          <w:rStyle w:val="Refdenotaalpie"/>
        </w:rPr>
        <w:footnoteRef/>
      </w:r>
      <w:r>
        <w:t xml:space="preserve"> CAÑAL, Diana R.; </w:t>
      </w:r>
      <w:r w:rsidRPr="003136E0">
        <w:t xml:space="preserve">“El fenómeno del desajuste entre los paradigmas normativos e interpretativos en el Derecho.  El caso de los derechos humanos fundamentales en América Latina. </w:t>
      </w:r>
      <w:r w:rsidRPr="00C45E07">
        <w:rPr>
          <w:lang w:val="pt-BR"/>
        </w:rPr>
        <w:t xml:space="preserve">La </w:t>
      </w:r>
      <w:proofErr w:type="spellStart"/>
      <w:r w:rsidRPr="00C45E07">
        <w:rPr>
          <w:lang w:val="pt-BR"/>
        </w:rPr>
        <w:t>cuestión</w:t>
      </w:r>
      <w:proofErr w:type="spellEnd"/>
      <w:r w:rsidRPr="00C45E07">
        <w:rPr>
          <w:lang w:val="pt-BR"/>
        </w:rPr>
        <w:t xml:space="preserve"> </w:t>
      </w:r>
      <w:proofErr w:type="spellStart"/>
      <w:proofErr w:type="gramStart"/>
      <w:r w:rsidRPr="00C45E07">
        <w:rPr>
          <w:lang w:val="pt-BR"/>
        </w:rPr>
        <w:t>del</w:t>
      </w:r>
      <w:proofErr w:type="spellEnd"/>
      <w:proofErr w:type="gramEnd"/>
      <w:r w:rsidRPr="00C45E07">
        <w:rPr>
          <w:lang w:val="pt-BR"/>
        </w:rPr>
        <w:t xml:space="preserve"> </w:t>
      </w:r>
      <w:proofErr w:type="spellStart"/>
      <w:r w:rsidRPr="00C45E07">
        <w:rPr>
          <w:lang w:val="pt-BR"/>
        </w:rPr>
        <w:t>trabajo</w:t>
      </w:r>
      <w:proofErr w:type="spellEnd"/>
      <w:r w:rsidRPr="00C45E07">
        <w:rPr>
          <w:lang w:val="pt-BR"/>
        </w:rPr>
        <w:t xml:space="preserve"> y </w:t>
      </w:r>
      <w:proofErr w:type="spellStart"/>
      <w:r w:rsidRPr="00C45E07">
        <w:rPr>
          <w:lang w:val="pt-BR"/>
        </w:rPr>
        <w:t>los</w:t>
      </w:r>
      <w:proofErr w:type="spellEnd"/>
      <w:r w:rsidRPr="00C45E07">
        <w:rPr>
          <w:lang w:val="pt-BR"/>
        </w:rPr>
        <w:t xml:space="preserve"> problemas </w:t>
      </w:r>
      <w:proofErr w:type="spellStart"/>
      <w:r w:rsidRPr="00C45E07">
        <w:rPr>
          <w:lang w:val="pt-BR"/>
        </w:rPr>
        <w:t>procesal</w:t>
      </w:r>
      <w:r w:rsidRPr="003139E8">
        <w:rPr>
          <w:lang w:val="pt-BR"/>
        </w:rPr>
        <w:t>es</w:t>
      </w:r>
      <w:proofErr w:type="spellEnd"/>
      <w:r w:rsidRPr="003139E8">
        <w:rPr>
          <w:lang w:val="pt-BR"/>
        </w:rPr>
        <w:t xml:space="preserve">”; Publicado </w:t>
      </w:r>
      <w:proofErr w:type="spellStart"/>
      <w:r w:rsidRPr="003139E8">
        <w:rPr>
          <w:lang w:val="pt-BR"/>
        </w:rPr>
        <w:t>en</w:t>
      </w:r>
      <w:proofErr w:type="spellEnd"/>
      <w:r w:rsidRPr="003139E8">
        <w:rPr>
          <w:lang w:val="pt-BR"/>
        </w:rPr>
        <w:t xml:space="preserve"> Libro “Temas de direito do trabalho, processo do trabalho e direito à saúde: abordagem à luz dos princípios jurídicos e dos direitos fundamentais", Ed. </w:t>
      </w:r>
      <w:proofErr w:type="spellStart"/>
      <w:r w:rsidRPr="00601100">
        <w:rPr>
          <w:lang w:val="es-AR"/>
        </w:rPr>
        <w:t>Dois</w:t>
      </w:r>
      <w:proofErr w:type="spellEnd"/>
      <w:r w:rsidRPr="00601100">
        <w:rPr>
          <w:lang w:val="es-AR"/>
        </w:rPr>
        <w:t xml:space="preserve"> de </w:t>
      </w:r>
      <w:proofErr w:type="spellStart"/>
      <w:r w:rsidRPr="00601100">
        <w:rPr>
          <w:lang w:val="es-AR"/>
        </w:rPr>
        <w:t>Julho</w:t>
      </w:r>
      <w:proofErr w:type="spellEnd"/>
      <w:r w:rsidRPr="00601100">
        <w:rPr>
          <w:lang w:val="es-AR"/>
        </w:rPr>
        <w:t xml:space="preserve">, </w:t>
      </w:r>
      <w:proofErr w:type="spellStart"/>
      <w:r w:rsidRPr="00601100">
        <w:rPr>
          <w:lang w:val="es-AR"/>
        </w:rPr>
        <w:t>Bahia</w:t>
      </w:r>
      <w:proofErr w:type="spellEnd"/>
      <w:r w:rsidRPr="00601100">
        <w:rPr>
          <w:lang w:val="es-AR"/>
        </w:rPr>
        <w:t>, Brasil, 2015.</w:t>
      </w:r>
    </w:p>
    <w:p w:rsidR="00601100" w:rsidRPr="00601100" w:rsidRDefault="00601100" w:rsidP="00601100">
      <w:pPr>
        <w:pStyle w:val="Textonotapie"/>
        <w:jc w:val="both"/>
        <w:rPr>
          <w:lang w:val="es-AR"/>
        </w:rPr>
      </w:pPr>
    </w:p>
  </w:footnote>
  <w:footnote w:id="21">
    <w:p w:rsidR="00601100" w:rsidRPr="00253EE6" w:rsidRDefault="00601100" w:rsidP="00601100">
      <w:pPr>
        <w:pStyle w:val="Textonotapie"/>
        <w:jc w:val="both"/>
        <w:rPr>
          <w:lang w:val="es-AR"/>
        </w:rPr>
      </w:pPr>
      <w:r>
        <w:rPr>
          <w:rStyle w:val="Refdenotaalpie"/>
        </w:rPr>
        <w:footnoteRef/>
      </w:r>
      <w:r w:rsidRPr="00253EE6">
        <w:rPr>
          <w:lang w:val="es-AR"/>
        </w:rPr>
        <w:t xml:space="preserve"> ) </w:t>
      </w:r>
      <w:r>
        <w:rPr>
          <w:lang w:val="es-AR"/>
        </w:rPr>
        <w:t xml:space="preserve">Segunda Tesis Doctoral </w:t>
      </w:r>
      <w:r w:rsidRPr="00253EE6">
        <w:rPr>
          <w:lang w:val="es-AR"/>
        </w:rPr>
        <w:t xml:space="preserve">en </w:t>
      </w:r>
      <w:r w:rsidRPr="00253EE6">
        <w:rPr>
          <w:b/>
          <w:lang w:val="es-AR"/>
        </w:rPr>
        <w:t>Derecho del Trabajo, Previsión Social y Derechos Humanos</w:t>
      </w:r>
    </w:p>
    <w:p w:rsidR="00601100" w:rsidRPr="00253EE6" w:rsidRDefault="00601100" w:rsidP="00601100">
      <w:pPr>
        <w:pStyle w:val="Textonotapie"/>
        <w:jc w:val="both"/>
        <w:rPr>
          <w:lang w:val="es-AR"/>
        </w:rPr>
      </w:pPr>
      <w:r w:rsidRPr="00253EE6">
        <w:rPr>
          <w:lang w:val="es-AR"/>
        </w:rPr>
        <w:t>Título expedido por la Dirección del Doctorado en Derecho del Trabajo, Previsión Social y Derechos Humanos de la Escuela de Estudios de Posgrado de la Facultad de Ciencias Jurídicas y Sociales, de la Universidad de San Carlos de Guatemala, Doctora en Derecho del Trabajo Previsión Social y Derechos Humanos, 7 de noviembre de 2013, mediante la defensa de la tesis “La Teoría de la penetración societaria, vista desde los distintos sistemas jurídicos y su aplicabilidad en un mundo globalizado”.</w:t>
      </w:r>
    </w:p>
    <w:p w:rsidR="00601100" w:rsidRPr="00253EE6" w:rsidRDefault="00601100" w:rsidP="00601100">
      <w:pPr>
        <w:pStyle w:val="Textonotapie"/>
        <w:jc w:val="both"/>
        <w:rPr>
          <w:lang w:val="es-AR"/>
        </w:rPr>
      </w:pPr>
    </w:p>
    <w:p w:rsidR="00601100" w:rsidRPr="00253EE6" w:rsidRDefault="00601100" w:rsidP="00601100">
      <w:pPr>
        <w:pStyle w:val="Textonotapie"/>
        <w:jc w:val="both"/>
        <w:rPr>
          <w:lang w:val="es-AR"/>
        </w:rPr>
      </w:pPr>
      <w:r w:rsidRPr="00253EE6">
        <w:rPr>
          <w:lang w:val="es-AR"/>
        </w:rPr>
        <w:t xml:space="preserve">Con prólogo del Dr. Ernesto </w:t>
      </w:r>
      <w:proofErr w:type="spellStart"/>
      <w:r w:rsidRPr="00253EE6">
        <w:rPr>
          <w:lang w:val="es-AR"/>
        </w:rPr>
        <w:t>Martorell</w:t>
      </w:r>
      <w:proofErr w:type="spellEnd"/>
      <w:r w:rsidRPr="00253EE6">
        <w:rPr>
          <w:lang w:val="es-AR"/>
        </w:rPr>
        <w:t xml:space="preserve">, CAÑAL, Diana R.; "Responsabilidad ilimitada y solidaria de directores, socios y gerentes de sociedades  comerciales", Editorial: </w:t>
      </w:r>
      <w:proofErr w:type="spellStart"/>
      <w:r w:rsidRPr="00253EE6">
        <w:rPr>
          <w:lang w:val="es-AR"/>
        </w:rPr>
        <w:t>Quorum</w:t>
      </w:r>
      <w:proofErr w:type="spellEnd"/>
      <w:r w:rsidRPr="00253EE6">
        <w:rPr>
          <w:lang w:val="es-AR"/>
        </w:rPr>
        <w:t>, octubre de 2001</w:t>
      </w:r>
      <w:r w:rsidRPr="00253EE6">
        <w:rPr>
          <w:b/>
          <w:lang w:val="es-AR"/>
        </w:rPr>
        <w:t xml:space="preserve">, </w:t>
      </w:r>
      <w:r w:rsidRPr="00253EE6">
        <w:rPr>
          <w:lang w:val="es-AR"/>
        </w:rPr>
        <w:t xml:space="preserve">Reeditado por </w:t>
      </w:r>
      <w:proofErr w:type="spellStart"/>
      <w:r w:rsidRPr="00253EE6">
        <w:rPr>
          <w:lang w:val="es-AR"/>
        </w:rPr>
        <w:t>Errepar</w:t>
      </w:r>
      <w:proofErr w:type="spellEnd"/>
      <w:r w:rsidRPr="00253EE6">
        <w:rPr>
          <w:lang w:val="es-AR"/>
        </w:rPr>
        <w:t xml:space="preserve"> en 2011.</w:t>
      </w:r>
    </w:p>
    <w:p w:rsidR="00601100" w:rsidRPr="00253EE6" w:rsidRDefault="00601100" w:rsidP="00601100">
      <w:pPr>
        <w:pStyle w:val="Textonotapie"/>
        <w:jc w:val="both"/>
        <w:rPr>
          <w:lang w:val="es-AR"/>
        </w:rPr>
      </w:pPr>
    </w:p>
  </w:footnote>
  <w:footnote w:id="22">
    <w:p w:rsidR="00601100" w:rsidRPr="00E33FAB" w:rsidRDefault="00601100" w:rsidP="00601100">
      <w:pPr>
        <w:pStyle w:val="Textonotapie"/>
        <w:jc w:val="both"/>
        <w:rPr>
          <w:b/>
        </w:rPr>
      </w:pPr>
      <w:r>
        <w:rPr>
          <w:rStyle w:val="Refdenotaalpie"/>
        </w:rPr>
        <w:footnoteRef/>
      </w:r>
      <w:r>
        <w:t xml:space="preserve"> </w:t>
      </w:r>
      <w:r w:rsidRPr="00E33FAB">
        <w:t xml:space="preserve">Con prólogo del Dr. Oscar </w:t>
      </w:r>
      <w:proofErr w:type="spellStart"/>
      <w:r w:rsidRPr="00E33FAB">
        <w:t>Ermida</w:t>
      </w:r>
      <w:proofErr w:type="spellEnd"/>
      <w:r w:rsidRPr="00E33FAB">
        <w:t xml:space="preserve"> Uriarte; CAÑAL , Diana R. , “Controversias en el derecho laboral”</w:t>
      </w:r>
      <w:r w:rsidRPr="00E33FAB">
        <w:rPr>
          <w:b/>
        </w:rPr>
        <w:t xml:space="preserve">, </w:t>
      </w:r>
      <w:r w:rsidRPr="00E33FAB">
        <w:t xml:space="preserve">Editorial: </w:t>
      </w:r>
      <w:proofErr w:type="spellStart"/>
      <w:r w:rsidRPr="00E33FAB">
        <w:t>Quorum</w:t>
      </w:r>
      <w:proofErr w:type="spellEnd"/>
      <w:r w:rsidRPr="00E33FAB">
        <w:t>, marzo de 2004</w:t>
      </w:r>
      <w:r w:rsidRPr="00E33FAB">
        <w:rPr>
          <w:b/>
        </w:rPr>
        <w:t xml:space="preserve">, </w:t>
      </w:r>
      <w:r w:rsidRPr="00E33FAB">
        <w:t xml:space="preserve">Reeditado por </w:t>
      </w:r>
      <w:proofErr w:type="spellStart"/>
      <w:r w:rsidRPr="00E33FAB">
        <w:t>Errepar</w:t>
      </w:r>
      <w:proofErr w:type="spellEnd"/>
      <w:r w:rsidRPr="00E33FAB">
        <w:t xml:space="preserve"> en 2011</w:t>
      </w:r>
    </w:p>
    <w:p w:rsidR="00601100" w:rsidRPr="00E33FAB" w:rsidRDefault="00601100" w:rsidP="00601100">
      <w:pPr>
        <w:pStyle w:val="Textonotapie"/>
        <w:jc w:val="both"/>
      </w:pPr>
    </w:p>
    <w:p w:rsidR="00601100" w:rsidRPr="00F80B86" w:rsidRDefault="00601100" w:rsidP="00601100">
      <w:pPr>
        <w:pStyle w:val="Textonotapie"/>
        <w:jc w:val="both"/>
      </w:pPr>
    </w:p>
  </w:footnote>
  <w:footnote w:id="23">
    <w:p w:rsidR="00601100" w:rsidRPr="00E824DC" w:rsidRDefault="00601100" w:rsidP="00601100">
      <w:pPr>
        <w:pStyle w:val="Textonotapie"/>
        <w:jc w:val="both"/>
        <w:rPr>
          <w:color w:val="FF0000"/>
          <w:lang w:val="es-ES_tradnl"/>
        </w:rPr>
      </w:pPr>
      <w:r>
        <w:rPr>
          <w:rStyle w:val="Refdenotaalpie"/>
        </w:rPr>
        <w:footnoteRef/>
      </w:r>
      <w:r>
        <w:t xml:space="preserve"> Con p</w:t>
      </w:r>
      <w:proofErr w:type="spellStart"/>
      <w:r w:rsidRPr="001976C0">
        <w:rPr>
          <w:lang w:val="es-ES_tradnl"/>
        </w:rPr>
        <w:t>rólogo</w:t>
      </w:r>
      <w:proofErr w:type="spellEnd"/>
      <w:r>
        <w:rPr>
          <w:lang w:val="es-ES_tradnl"/>
        </w:rPr>
        <w:t xml:space="preserve"> del Dr.</w:t>
      </w:r>
      <w:r w:rsidRPr="001976C0">
        <w:rPr>
          <w:lang w:val="es-ES_tradnl"/>
        </w:rPr>
        <w:t xml:space="preserve"> Tulio Ortiz </w:t>
      </w:r>
      <w:r w:rsidRPr="00E824DC">
        <w:rPr>
          <w:lang w:val="es-ES_tradnl"/>
        </w:rPr>
        <w:t>CAÑAL, Diana R.</w:t>
      </w:r>
      <w:r w:rsidRPr="00E824DC">
        <w:rPr>
          <w:i/>
          <w:lang w:val="es-ES_tradnl"/>
        </w:rPr>
        <w:t>; Una  Visión Pragmática del Derecho</w:t>
      </w:r>
      <w:r w:rsidRPr="00E824DC">
        <w:rPr>
          <w:lang w:val="es-ES_tradnl"/>
        </w:rPr>
        <w:t xml:space="preserve">, </w:t>
      </w:r>
      <w:r w:rsidRPr="00E824DC">
        <w:rPr>
          <w:lang w:val="es-AR"/>
        </w:rPr>
        <w:t xml:space="preserve">Ed. </w:t>
      </w:r>
      <w:proofErr w:type="spellStart"/>
      <w:r w:rsidRPr="00E824DC">
        <w:rPr>
          <w:lang w:val="es-AR"/>
        </w:rPr>
        <w:t>Quorum</w:t>
      </w:r>
      <w:proofErr w:type="spellEnd"/>
      <w:r w:rsidRPr="00E824DC">
        <w:rPr>
          <w:lang w:val="es-AR"/>
        </w:rPr>
        <w:t xml:space="preserve"> nov/2003</w:t>
      </w:r>
      <w:r w:rsidRPr="00E824DC">
        <w:rPr>
          <w:lang w:val="es-ES_tradnl"/>
        </w:rPr>
        <w:t xml:space="preserve">, </w:t>
      </w:r>
      <w:r w:rsidRPr="00E824DC">
        <w:t xml:space="preserve">Reeditado por </w:t>
      </w:r>
      <w:proofErr w:type="spellStart"/>
      <w:r w:rsidRPr="00E824DC">
        <w:t>Errepar</w:t>
      </w:r>
      <w:proofErr w:type="spellEnd"/>
      <w:r w:rsidRPr="00E824DC">
        <w:t xml:space="preserve"> en 2011</w:t>
      </w:r>
    </w:p>
    <w:p w:rsidR="00601100" w:rsidRDefault="00601100" w:rsidP="00601100">
      <w:pPr>
        <w:pStyle w:val="Textonotapie"/>
        <w:jc w:val="both"/>
      </w:pPr>
    </w:p>
  </w:footnote>
  <w:footnote w:id="24">
    <w:p w:rsidR="00601100" w:rsidRDefault="00601100" w:rsidP="00601100">
      <w:pPr>
        <w:jc w:val="both"/>
      </w:pPr>
      <w:r>
        <w:rPr>
          <w:rStyle w:val="Refdenotaalpie"/>
        </w:rPr>
        <w:footnoteRef/>
      </w:r>
      <w:r>
        <w:t xml:space="preserve"> </w:t>
      </w:r>
      <w:proofErr w:type="spellStart"/>
      <w:r w:rsidRPr="00814042">
        <w:t>Ib</w:t>
      </w:r>
      <w:proofErr w:type="spellEnd"/>
      <w:r w:rsidRPr="00814042">
        <w:t xml:space="preserve"> 11, pág. 12: “</w:t>
      </w:r>
      <w:r w:rsidRPr="00814042">
        <w:rPr>
          <w:lang w:val="es-AR"/>
        </w:rPr>
        <w:t>Hay que tener en cuenta, de todas maneras, la circunstancia de que el derecho constitucional argentino y su práctica jurisprudencial no han adoptado la doctrina de la fuerza jurídica vinculante de los precedentes (</w:t>
      </w:r>
      <w:proofErr w:type="spellStart"/>
      <w:r w:rsidRPr="00814042">
        <w:rPr>
          <w:i/>
          <w:iCs/>
          <w:lang w:val="es-AR"/>
        </w:rPr>
        <w:t>stare</w:t>
      </w:r>
      <w:proofErr w:type="spellEnd"/>
      <w:r w:rsidRPr="00814042">
        <w:rPr>
          <w:i/>
          <w:iCs/>
          <w:lang w:val="es-AR"/>
        </w:rPr>
        <w:t xml:space="preserve"> </w:t>
      </w:r>
      <w:proofErr w:type="spellStart"/>
      <w:r w:rsidRPr="00814042">
        <w:rPr>
          <w:i/>
          <w:iCs/>
          <w:lang w:val="es-AR"/>
        </w:rPr>
        <w:t>decisis</w:t>
      </w:r>
      <w:proofErr w:type="spellEnd"/>
      <w:r w:rsidRPr="00814042">
        <w:rPr>
          <w:lang w:val="es-AR"/>
        </w:rPr>
        <w:t>)”</w:t>
      </w:r>
    </w:p>
    <w:p w:rsidR="00601100" w:rsidRPr="00575306" w:rsidRDefault="00601100" w:rsidP="00601100">
      <w:pPr>
        <w:pStyle w:val="Textonotapie"/>
        <w:rPr>
          <w:lang w:val="es-AR"/>
        </w:rPr>
      </w:pPr>
    </w:p>
  </w:footnote>
  <w:footnote w:id="25">
    <w:p w:rsidR="00601100" w:rsidRPr="00814042" w:rsidRDefault="00601100" w:rsidP="00601100">
      <w:pPr>
        <w:pStyle w:val="Textonotapie"/>
        <w:jc w:val="both"/>
        <w:rPr>
          <w:lang w:val="es-AR"/>
        </w:rPr>
      </w:pPr>
      <w:r>
        <w:rPr>
          <w:rStyle w:val="Refdenotaalpie"/>
        </w:rPr>
        <w:footnoteRef/>
      </w:r>
      <w:r>
        <w:t xml:space="preserve"> </w:t>
      </w:r>
      <w:r w:rsidRPr="00EC1D27">
        <w:t>Caso Cabrera García y Montiel Flores Vs. México. Excepción Preliminar, Fondo, Reparaciones y Costas. Sentencia de 2</w:t>
      </w:r>
      <w:r>
        <w:t xml:space="preserve">6 de noviembre de 2010: </w:t>
      </w:r>
      <w:r w:rsidRPr="00866ECD">
        <w:t xml:space="preserve">“Los jueces y órganos vinculados a la administración de justicia en todos los niveles están en la obligación de ejercer ex </w:t>
      </w:r>
      <w:proofErr w:type="spellStart"/>
      <w:r w:rsidRPr="00866ECD">
        <w:t>officio</w:t>
      </w:r>
      <w:proofErr w:type="spellEnd"/>
      <w:r w:rsidRPr="00866ECD">
        <w:t xml:space="preserve">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 el mismo sentido: Caso </w:t>
      </w:r>
      <w:proofErr w:type="spellStart"/>
      <w:r w:rsidRPr="00866ECD">
        <w:t>Liakat</w:t>
      </w:r>
      <w:proofErr w:type="spellEnd"/>
      <w:r w:rsidRPr="00866ECD">
        <w:t xml:space="preserve"> </w:t>
      </w:r>
      <w:proofErr w:type="spellStart"/>
      <w:r w:rsidRPr="00866ECD">
        <w:t>Ali</w:t>
      </w:r>
      <w:proofErr w:type="spellEnd"/>
      <w:r w:rsidRPr="00866ECD">
        <w:t xml:space="preserve"> </w:t>
      </w:r>
      <w:proofErr w:type="spellStart"/>
      <w:r w:rsidRPr="00866ECD">
        <w:t>Alibux</w:t>
      </w:r>
      <w:proofErr w:type="spellEnd"/>
      <w:r w:rsidRPr="00866ECD">
        <w:t xml:space="preserve"> Vs. Surinam. Excepciones Preliminares, Fondo, Reparaciones y Costas. Sentencia de 30 de enero de 2014, párr. 151; Caso de personas dominicanas y haitianas expulsadas Vs. República Dominicana. Excepciones Preliminares, Fondo, Reparaciones y Costas. Sentencia de 28 de agosto de 201412, párr. 311. (</w:t>
      </w:r>
      <w:proofErr w:type="spellStart"/>
      <w:r w:rsidRPr="00866ECD">
        <w:t>NdelE</w:t>
      </w:r>
      <w:proofErr w:type="spellEnd"/>
      <w:r w:rsidRPr="00866ECD">
        <w:t>: Destacado no está en el texto original). (…) Ello implica que, independientemente de las reformas legales que el Estado deba adoptar […], en el presente caso corresponde a las autoridades judiciales, con base en el control de convencionalidad, disponer inmediatamente y de oficio el conocimiento de los hechos por el juez natural, es decir el fuero penal ordinario (…)”</w:t>
      </w:r>
    </w:p>
    <w:p w:rsidR="00601100" w:rsidRDefault="00601100" w:rsidP="00601100">
      <w:pPr>
        <w:pStyle w:val="Textonotapie"/>
        <w:jc w:val="both"/>
      </w:pPr>
      <w:r>
        <w:t xml:space="preserve"> </w:t>
      </w:r>
      <w:r w:rsidRPr="00A76002">
        <w:rPr>
          <w:i/>
        </w:rPr>
        <w:t>CONTROL DE CONVENCIONALIDAD</w:t>
      </w:r>
      <w:r>
        <w:rPr>
          <w:i/>
        </w:rPr>
        <w:t xml:space="preserve">, </w:t>
      </w:r>
      <w:r w:rsidRPr="00A76002">
        <w:t xml:space="preserve">Cuadernillo de Jurisprudencia de la Corte Interamericana de Derechos Humanos Nº 7 </w:t>
      </w:r>
      <w:hyperlink r:id="rId1" w:history="1">
        <w:r w:rsidRPr="008E1AE9">
          <w:rPr>
            <w:rStyle w:val="Hipervnculo"/>
          </w:rPr>
          <w:t>http://www.corteidh.or.cr/tablas/r33825.pdf</w:t>
        </w:r>
      </w:hyperlink>
      <w:r>
        <w:t xml:space="preserve"> </w:t>
      </w:r>
    </w:p>
    <w:p w:rsidR="00601100" w:rsidRPr="00575306" w:rsidRDefault="00601100" w:rsidP="00601100">
      <w:pPr>
        <w:pStyle w:val="Textonotapie"/>
        <w:jc w:val="both"/>
        <w:rPr>
          <w:lang w:val="es-AR"/>
        </w:rPr>
      </w:pPr>
    </w:p>
    <w:p w:rsidR="00601100" w:rsidRPr="00814042" w:rsidRDefault="00601100" w:rsidP="00601100">
      <w:pPr>
        <w:pStyle w:val="Textonotapie"/>
        <w:rPr>
          <w:lang w:val="es-AR"/>
        </w:rPr>
      </w:pPr>
    </w:p>
  </w:footnote>
  <w:footnote w:id="26">
    <w:p w:rsidR="00601100" w:rsidRPr="003E4476" w:rsidRDefault="00601100" w:rsidP="00601100">
      <w:pPr>
        <w:pStyle w:val="Textonotapie"/>
        <w:jc w:val="both"/>
        <w:rPr>
          <w:lang w:val="es-AR"/>
        </w:rPr>
      </w:pPr>
      <w:r>
        <w:rPr>
          <w:rStyle w:val="Refdenotaalpie"/>
        </w:rPr>
        <w:footnoteRef/>
      </w:r>
      <w:r>
        <w:t xml:space="preserve"> </w:t>
      </w:r>
      <w:r w:rsidRPr="003F16D4">
        <w:t xml:space="preserve">MARTINEZ MEDRANO, </w:t>
      </w:r>
      <w:r w:rsidRPr="003F16D4">
        <w:rPr>
          <w:lang w:val="es-AR"/>
        </w:rPr>
        <w:t xml:space="preserve">Gabriel, </w:t>
      </w:r>
      <w:r w:rsidRPr="003F16D4">
        <w:rPr>
          <w:bCs/>
          <w:i/>
          <w:lang w:val="es-AR"/>
        </w:rPr>
        <w:t xml:space="preserve">LEY 27348. Comisiones Médicas. Inconstitucionalidad De Una Comisión Administrativa Para Resolver Conflictos Entre Particulares De Derecho Común, </w:t>
      </w:r>
      <w:r w:rsidRPr="003F16D4">
        <w:rPr>
          <w:lang w:val="es-AR"/>
        </w:rPr>
        <w:t>Publicado el 9 de agosto de 2017</w:t>
      </w:r>
      <w:r>
        <w:rPr>
          <w:lang w:val="es-AR"/>
        </w:rPr>
        <w:t>.</w:t>
      </w:r>
    </w:p>
    <w:p w:rsidR="00601100" w:rsidRPr="003F16D4" w:rsidRDefault="00601100" w:rsidP="00601100">
      <w:pPr>
        <w:pStyle w:val="Textonotapie"/>
        <w:rPr>
          <w:lang w:val="es-AR"/>
        </w:rPr>
      </w:pPr>
      <w:r w:rsidRPr="003E4476">
        <w:rPr>
          <w:lang w:val="es-AR"/>
        </w:rPr>
        <w:t>LUQUI</w:t>
      </w:r>
      <w:r>
        <w:rPr>
          <w:lang w:val="es-AR"/>
        </w:rPr>
        <w:t xml:space="preserve">, Roberto Enrique; </w:t>
      </w:r>
      <w:r w:rsidRPr="003E4476">
        <w:rPr>
          <w:i/>
          <w:lang w:val="es-AR"/>
        </w:rPr>
        <w:t>Revisión Judicial de la actividad administrativa</w:t>
      </w:r>
      <w:r>
        <w:rPr>
          <w:lang w:val="es-AR"/>
        </w:rPr>
        <w:t xml:space="preserve"> - </w:t>
      </w:r>
      <w:r w:rsidRPr="003E4476">
        <w:rPr>
          <w:lang w:val="es-AR"/>
        </w:rPr>
        <w:t xml:space="preserve">Buenos Aires: </w:t>
      </w:r>
      <w:proofErr w:type="spellStart"/>
      <w:r w:rsidRPr="003E4476">
        <w:rPr>
          <w:lang w:val="es-AR"/>
        </w:rPr>
        <w:t>Astrea</w:t>
      </w:r>
      <w:proofErr w:type="spellEnd"/>
      <w:r w:rsidRPr="003E4476">
        <w:rPr>
          <w:lang w:val="es-AR"/>
        </w:rPr>
        <w:t>, 2005.</w:t>
      </w:r>
      <w:r w:rsidRPr="003E4476">
        <w:t xml:space="preserve"> </w:t>
      </w:r>
      <w:r>
        <w:rPr>
          <w:lang w:val="es-AR"/>
        </w:rPr>
        <w:t>ISBN:</w:t>
      </w:r>
      <w:r w:rsidRPr="003E4476">
        <w:rPr>
          <w:lang w:val="es-AR"/>
        </w:rPr>
        <w:t>950-508-701-2</w:t>
      </w:r>
    </w:p>
  </w:footnote>
  <w:footnote w:id="27">
    <w:p w:rsidR="00601100" w:rsidRPr="000E312D" w:rsidRDefault="00601100" w:rsidP="00601100">
      <w:pPr>
        <w:pStyle w:val="Textonotapie"/>
        <w:jc w:val="both"/>
        <w:rPr>
          <w:rFonts w:ascii="Arial" w:hAnsi="Arial"/>
          <w:sz w:val="18"/>
          <w:lang w:val="es-AR" w:eastAsia="en-US"/>
        </w:rPr>
      </w:pPr>
      <w:r>
        <w:rPr>
          <w:rStyle w:val="Refdenotaalpie"/>
        </w:rPr>
        <w:footnoteRef/>
      </w:r>
      <w:r>
        <w:t xml:space="preserve"> </w:t>
      </w:r>
      <w:r w:rsidRPr="003E4476">
        <w:rPr>
          <w:rFonts w:ascii="Arial" w:hAnsi="Arial"/>
          <w:sz w:val="18"/>
          <w:lang w:val="es-AR" w:eastAsia="en-US"/>
        </w:rPr>
        <w:t>FAVOREAU, Louis</w:t>
      </w:r>
      <w:r w:rsidRPr="000E312D">
        <w:rPr>
          <w:rFonts w:ascii="Arial" w:hAnsi="Arial"/>
          <w:sz w:val="18"/>
          <w:lang w:val="es-AR" w:eastAsia="en-US"/>
        </w:rPr>
        <w:t xml:space="preserve">, </w:t>
      </w:r>
      <w:r w:rsidRPr="000E312D">
        <w:rPr>
          <w:rFonts w:ascii="Arial" w:hAnsi="Arial"/>
          <w:i/>
          <w:sz w:val="18"/>
          <w:lang w:val="es-AR" w:eastAsia="en-US"/>
        </w:rPr>
        <w:t xml:space="preserve">Legalidad y Constitucionalidad. La </w:t>
      </w:r>
      <w:proofErr w:type="spellStart"/>
      <w:r w:rsidRPr="000E312D">
        <w:rPr>
          <w:rFonts w:ascii="Arial" w:hAnsi="Arial"/>
          <w:i/>
          <w:sz w:val="18"/>
          <w:lang w:val="es-AR" w:eastAsia="en-US"/>
        </w:rPr>
        <w:t>Co</w:t>
      </w:r>
      <w:r>
        <w:rPr>
          <w:rFonts w:ascii="Arial" w:hAnsi="Arial"/>
          <w:i/>
          <w:sz w:val="18"/>
          <w:lang w:val="es-AR" w:eastAsia="en-US"/>
        </w:rPr>
        <w:t>nstitucionalización</w:t>
      </w:r>
      <w:proofErr w:type="spellEnd"/>
      <w:r>
        <w:rPr>
          <w:rFonts w:ascii="Arial" w:hAnsi="Arial"/>
          <w:i/>
          <w:sz w:val="18"/>
          <w:lang w:val="es-AR" w:eastAsia="en-US"/>
        </w:rPr>
        <w:t xml:space="preserve"> del Derecho,</w:t>
      </w:r>
      <w:r w:rsidRPr="000E312D">
        <w:rPr>
          <w:rFonts w:ascii="Arial" w:hAnsi="Arial"/>
          <w:sz w:val="18"/>
          <w:lang w:val="es-AR" w:eastAsia="en-US"/>
        </w:rPr>
        <w:t xml:space="preserve"> Volumen 59,  Temas de Derecho Público. Universidad Externado de Colombia”.</w:t>
      </w:r>
    </w:p>
    <w:p w:rsidR="00601100" w:rsidRDefault="00601100" w:rsidP="00601100">
      <w:pPr>
        <w:pStyle w:val="Textonotapie"/>
      </w:pPr>
    </w:p>
  </w:footnote>
  <w:footnote w:id="28">
    <w:p w:rsidR="00601100" w:rsidRPr="00203E1C" w:rsidRDefault="00601100" w:rsidP="00601100">
      <w:pPr>
        <w:pStyle w:val="Textonotapie"/>
        <w:rPr>
          <w:lang w:val="es-AR"/>
        </w:rPr>
      </w:pPr>
      <w:r>
        <w:rPr>
          <w:rStyle w:val="Refdenotaalpie"/>
        </w:rPr>
        <w:footnoteRef/>
      </w:r>
      <w:r>
        <w:t xml:space="preserve"> </w:t>
      </w:r>
      <w:r w:rsidRPr="001A3756">
        <w:rPr>
          <w:lang w:val="es-AR"/>
        </w:rPr>
        <w:t>CNAT, Sala III</w:t>
      </w:r>
      <w:r w:rsidRPr="00203E1C">
        <w:rPr>
          <w:lang w:val="es-AR"/>
        </w:rPr>
        <w:t>, S.D. del31/08/2016en autos “SOSA, GLADYS ESTER C/FUNDACION CIENTÍFICA DE VICENTE LOPEZ Y OTRO S/ DESPIDO”: aquí se destaca el orden de prelación normativa entendido sistémicamente.</w:t>
      </w:r>
    </w:p>
    <w:p w:rsidR="00601100" w:rsidRPr="00203E1C" w:rsidRDefault="00601100" w:rsidP="00601100">
      <w:pPr>
        <w:pStyle w:val="Textonotapie"/>
        <w:rPr>
          <w:lang w:val="es-AR"/>
        </w:rPr>
      </w:pPr>
    </w:p>
  </w:footnote>
  <w:footnote w:id="29">
    <w:p w:rsidR="00601100" w:rsidRPr="00773652" w:rsidRDefault="00601100" w:rsidP="00601100">
      <w:pPr>
        <w:pStyle w:val="Textonotapie"/>
        <w:rPr>
          <w:lang w:val="es-AR"/>
        </w:rPr>
      </w:pPr>
      <w:r>
        <w:rPr>
          <w:rStyle w:val="Refdenotaalpie"/>
        </w:rPr>
        <w:footnoteRef/>
      </w:r>
      <w:r>
        <w:t xml:space="preserve"> </w:t>
      </w:r>
      <w:r w:rsidRPr="00773652">
        <w:t xml:space="preserve">CASSAGNE, JUAN CARLOS, “Las facultades jurisdiccionales de los entes reguladores (a propósito del caso "Ángel Estrada"), </w:t>
      </w:r>
      <w:r w:rsidRPr="00773652">
        <w:rPr>
          <w:i/>
          <w:iCs/>
        </w:rPr>
        <w:t>LL</w:t>
      </w:r>
      <w:r w:rsidRPr="00773652">
        <w:t xml:space="preserve">, 2005/06/09  </w:t>
      </w:r>
    </w:p>
    <w:p w:rsidR="00601100" w:rsidRPr="00773652" w:rsidRDefault="00601100" w:rsidP="00601100">
      <w:pPr>
        <w:pStyle w:val="Textonotapie"/>
        <w:rPr>
          <w:lang w:val="es-AR"/>
        </w:rPr>
      </w:pPr>
    </w:p>
  </w:footnote>
  <w:footnote w:id="30">
    <w:p w:rsidR="00601100" w:rsidRPr="00BD5094" w:rsidRDefault="00601100" w:rsidP="00601100">
      <w:pPr>
        <w:pStyle w:val="Textonotapie"/>
        <w:rPr>
          <w:lang w:val="es-AR"/>
        </w:rPr>
      </w:pPr>
      <w:r>
        <w:rPr>
          <w:rStyle w:val="Refdenotaalpie"/>
        </w:rPr>
        <w:footnoteRef/>
      </w:r>
      <w:r>
        <w:t xml:space="preserve"> </w:t>
      </w:r>
      <w:r w:rsidRPr="00BD5094">
        <w:t>http://www.gordillo.com/articulos/art49.pdf</w:t>
      </w:r>
    </w:p>
  </w:footnote>
  <w:footnote w:id="31">
    <w:p w:rsidR="00601100" w:rsidRDefault="00601100" w:rsidP="00601100">
      <w:pPr>
        <w:pStyle w:val="Textonotapie"/>
      </w:pPr>
      <w:r>
        <w:rPr>
          <w:rStyle w:val="Refdenotaalpie"/>
        </w:rPr>
        <w:footnoteRef/>
      </w:r>
      <w:r>
        <w:t xml:space="preserve"> Caso “</w:t>
      </w:r>
      <w:proofErr w:type="spellStart"/>
      <w:r>
        <w:t>Fiorino</w:t>
      </w:r>
      <w:proofErr w:type="spellEnd"/>
      <w:r>
        <w:t>”, citado Ib. 4</w:t>
      </w:r>
    </w:p>
  </w:footnote>
  <w:footnote w:id="32">
    <w:p w:rsidR="00601100" w:rsidRDefault="00601100" w:rsidP="00601100">
      <w:pPr>
        <w:pStyle w:val="Textonotapie"/>
        <w:jc w:val="both"/>
      </w:pPr>
      <w:r>
        <w:rPr>
          <w:rStyle w:val="Refdenotaalpie"/>
        </w:rPr>
        <w:footnoteRef/>
      </w:r>
      <w:r>
        <w:t xml:space="preserve"> Artículos </w:t>
      </w:r>
      <w:r w:rsidRPr="00333775">
        <w:rPr>
          <w:iCs/>
        </w:rPr>
        <w:t xml:space="preserve">8 y 10 de la Declaración Universal de Derechos Humanos, art. 2.3 del </w:t>
      </w:r>
      <w:r w:rsidRPr="00333775">
        <w:rPr>
          <w:iCs/>
          <w:lang w:val="es-AR"/>
        </w:rPr>
        <w:t xml:space="preserve">PIDESC, arts. 26 y 27 de la </w:t>
      </w:r>
      <w:r w:rsidRPr="00333775">
        <w:rPr>
          <w:iCs/>
        </w:rPr>
        <w:t>Declaración Americana de los Derechos y Deberes del Hombre, y art. 8.1de la Convención Americana de Derechos Humanos</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038"/>
      <w:docPartObj>
        <w:docPartGallery w:val="Page Numbers (Top of Page)"/>
        <w:docPartUnique/>
      </w:docPartObj>
    </w:sdtPr>
    <w:sdtEndPr/>
    <w:sdtContent>
      <w:p w:rsidR="00F914EE" w:rsidRDefault="00F914EE">
        <w:pPr>
          <w:pStyle w:val="Encabezado"/>
          <w:jc w:val="right"/>
        </w:pPr>
        <w:r>
          <w:fldChar w:fldCharType="begin"/>
        </w:r>
        <w:r>
          <w:instrText>PAGE   \* MERGEFORMAT</w:instrText>
        </w:r>
        <w:r>
          <w:fldChar w:fldCharType="separate"/>
        </w:r>
        <w:r w:rsidR="007B0F40">
          <w:rPr>
            <w:noProof/>
          </w:rPr>
          <w:t>37</w:t>
        </w:r>
        <w:r>
          <w:fldChar w:fldCharType="end"/>
        </w:r>
      </w:p>
    </w:sdtContent>
  </w:sdt>
  <w:p w:rsidR="00F914EE" w:rsidRDefault="00F914EE" w:rsidP="009E6422">
    <w:pPr>
      <w:pStyle w:val="Encabezado"/>
      <w:rPr>
        <w:rFonts w:asciiTheme="majorHAnsi" w:hAnsiTheme="majorHAnsi" w:cs="Arial"/>
        <w:sz w:val="18"/>
        <w:szCs w:val="18"/>
        <w:lang w:val="es-MX"/>
      </w:rPr>
    </w:pPr>
    <w:proofErr w:type="spellStart"/>
    <w:r w:rsidRPr="00FB24CC">
      <w:rPr>
        <w:rFonts w:asciiTheme="majorHAnsi" w:hAnsiTheme="majorHAnsi" w:cs="Arial"/>
        <w:sz w:val="18"/>
        <w:szCs w:val="18"/>
        <w:lang w:val="es-MX"/>
      </w:rPr>
      <w:t>Expte</w:t>
    </w:r>
    <w:proofErr w:type="spellEnd"/>
    <w:r w:rsidRPr="00FB24CC">
      <w:rPr>
        <w:rFonts w:asciiTheme="majorHAnsi" w:hAnsiTheme="majorHAnsi" w:cs="Arial"/>
        <w:sz w:val="18"/>
        <w:szCs w:val="18"/>
        <w:lang w:val="es-MX"/>
      </w:rPr>
      <w:t xml:space="preserve"> Nº </w:t>
    </w:r>
    <w:r w:rsidRPr="00AE7FFB">
      <w:rPr>
        <w:rFonts w:asciiTheme="majorHAnsi" w:hAnsiTheme="majorHAnsi" w:cs="Arial"/>
        <w:sz w:val="18"/>
        <w:szCs w:val="18"/>
        <w:lang w:val="es-MX"/>
      </w:rPr>
      <w:t>28095/2017</w:t>
    </w:r>
  </w:p>
  <w:p w:rsidR="00F914EE" w:rsidRPr="00517155" w:rsidRDefault="00F914EE" w:rsidP="009E6422">
    <w:pPr>
      <w:pStyle w:val="Encabezado"/>
      <w:rPr>
        <w:rFonts w:asciiTheme="majorHAnsi" w:hAnsiTheme="majorHAnsi" w:cs="Arial"/>
        <w:sz w:val="18"/>
        <w:szCs w:val="18"/>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44971"/>
      <w:docPartObj>
        <w:docPartGallery w:val="Page Numbers (Top of Page)"/>
        <w:docPartUnique/>
      </w:docPartObj>
    </w:sdtPr>
    <w:sdtEndPr/>
    <w:sdtContent>
      <w:p w:rsidR="00F914EE" w:rsidRDefault="00181212">
        <w:pPr>
          <w:pStyle w:val="Encabezado"/>
          <w:jc w:val="right"/>
        </w:pPr>
        <w:r>
          <w:t>28</w:t>
        </w:r>
      </w:p>
    </w:sdtContent>
  </w:sdt>
  <w:p w:rsidR="00F914EE" w:rsidRDefault="00F914EE" w:rsidP="008D3D2D">
    <w:pPr>
      <w:pStyle w:val="ESCUDO"/>
    </w:pPr>
    <w:r>
      <w:rPr>
        <w:noProof/>
        <w:lang w:val="es-AR" w:eastAsia="es-AR"/>
      </w:rPr>
      <w:drawing>
        <wp:inline distT="0" distB="0" distL="0" distR="0" wp14:anchorId="08DC99CF" wp14:editId="1205547F">
          <wp:extent cx="379730" cy="570230"/>
          <wp:effectExtent l="0" t="0" r="127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570230"/>
                  </a:xfrm>
                  <a:prstGeom prst="rect">
                    <a:avLst/>
                  </a:prstGeom>
                  <a:solidFill>
                    <a:srgbClr val="FFFFFF"/>
                  </a:solidFill>
                  <a:ln>
                    <a:noFill/>
                  </a:ln>
                </pic:spPr>
              </pic:pic>
            </a:graphicData>
          </a:graphic>
        </wp:inline>
      </w:drawing>
    </w:r>
  </w:p>
  <w:p w:rsidR="00F914EE" w:rsidRDefault="00F914EE" w:rsidP="008D3D2D">
    <w:pPr>
      <w:pStyle w:val="PJN"/>
    </w:pPr>
    <w:r>
      <w:t>Poder Judicial de la Nación</w:t>
    </w:r>
  </w:p>
  <w:p w:rsidR="00F914EE" w:rsidRPr="008D3D2D" w:rsidRDefault="00F914EE" w:rsidP="008D3D2D">
    <w:pPr>
      <w:pStyle w:val="Encabezado"/>
      <w:jc w:val="center"/>
      <w:rPr>
        <w:lang w:val="es-MX"/>
      </w:rPr>
    </w:pPr>
    <w:r>
      <w:rPr>
        <w:lang w:val="es-MX"/>
      </w:rPr>
      <w:t>CÁMARA NACIONAL DE APELACIONES DEL TRABAJO - SALA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D26"/>
    <w:multiLevelType w:val="hybridMultilevel"/>
    <w:tmpl w:val="2B3E5E12"/>
    <w:lvl w:ilvl="0" w:tplc="6E7E3A12">
      <w:numFmt w:val="bullet"/>
      <w:lvlText w:val="-"/>
      <w:lvlJc w:val="left"/>
      <w:pPr>
        <w:ind w:left="2061" w:hanging="360"/>
      </w:pPr>
      <w:rPr>
        <w:rFonts w:ascii="Arial" w:eastAsia="Times New Roman" w:hAnsi="Arial" w:cs="Aria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
    <w:nsid w:val="2B725E1F"/>
    <w:multiLevelType w:val="hybridMultilevel"/>
    <w:tmpl w:val="7BB07248"/>
    <w:lvl w:ilvl="0" w:tplc="2C4A593A">
      <w:start w:val="1"/>
      <w:numFmt w:val="decimal"/>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
    <w:nsid w:val="436C4B99"/>
    <w:multiLevelType w:val="hybridMultilevel"/>
    <w:tmpl w:val="7A4E81C2"/>
    <w:lvl w:ilvl="0" w:tplc="7B028C00">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4B9025E7"/>
    <w:multiLevelType w:val="multilevel"/>
    <w:tmpl w:val="C8EA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F3044"/>
    <w:multiLevelType w:val="hybridMultilevel"/>
    <w:tmpl w:val="A6FEF3B6"/>
    <w:lvl w:ilvl="0" w:tplc="2C0A0001">
      <w:start w:val="1"/>
      <w:numFmt w:val="bullet"/>
      <w:lvlText w:val=""/>
      <w:lvlJc w:val="left"/>
      <w:pPr>
        <w:ind w:left="2421" w:hanging="360"/>
      </w:pPr>
      <w:rPr>
        <w:rFonts w:ascii="Symbol" w:hAnsi="Symbol"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51"/>
    <w:rsid w:val="00000EA8"/>
    <w:rsid w:val="00002FF4"/>
    <w:rsid w:val="00004B90"/>
    <w:rsid w:val="00006493"/>
    <w:rsid w:val="000065D4"/>
    <w:rsid w:val="0001059E"/>
    <w:rsid w:val="0001705E"/>
    <w:rsid w:val="00027CE2"/>
    <w:rsid w:val="00032A9C"/>
    <w:rsid w:val="000338A2"/>
    <w:rsid w:val="0004695D"/>
    <w:rsid w:val="00057764"/>
    <w:rsid w:val="0006310A"/>
    <w:rsid w:val="00064279"/>
    <w:rsid w:val="0006630C"/>
    <w:rsid w:val="0007282F"/>
    <w:rsid w:val="000768FE"/>
    <w:rsid w:val="00077FEE"/>
    <w:rsid w:val="00080889"/>
    <w:rsid w:val="00081CF2"/>
    <w:rsid w:val="00083869"/>
    <w:rsid w:val="000842F4"/>
    <w:rsid w:val="00084E9F"/>
    <w:rsid w:val="000855C9"/>
    <w:rsid w:val="00086970"/>
    <w:rsid w:val="00092526"/>
    <w:rsid w:val="000A62DF"/>
    <w:rsid w:val="000A7773"/>
    <w:rsid w:val="000B0D9B"/>
    <w:rsid w:val="000B28F4"/>
    <w:rsid w:val="000B3801"/>
    <w:rsid w:val="000C524A"/>
    <w:rsid w:val="000D6C95"/>
    <w:rsid w:val="000D7264"/>
    <w:rsid w:val="000D7C03"/>
    <w:rsid w:val="000D7E46"/>
    <w:rsid w:val="000E2CFD"/>
    <w:rsid w:val="000E3399"/>
    <w:rsid w:val="000E38C2"/>
    <w:rsid w:val="000E6AFF"/>
    <w:rsid w:val="000F19A9"/>
    <w:rsid w:val="00100B35"/>
    <w:rsid w:val="00100E62"/>
    <w:rsid w:val="00103F43"/>
    <w:rsid w:val="00104B33"/>
    <w:rsid w:val="00107926"/>
    <w:rsid w:val="001176E6"/>
    <w:rsid w:val="00117728"/>
    <w:rsid w:val="00117C35"/>
    <w:rsid w:val="001321D7"/>
    <w:rsid w:val="00132A39"/>
    <w:rsid w:val="001358D1"/>
    <w:rsid w:val="0014276B"/>
    <w:rsid w:val="00146F87"/>
    <w:rsid w:val="00151BFF"/>
    <w:rsid w:val="001642D0"/>
    <w:rsid w:val="001724D2"/>
    <w:rsid w:val="0017276E"/>
    <w:rsid w:val="00172C11"/>
    <w:rsid w:val="00181212"/>
    <w:rsid w:val="00191667"/>
    <w:rsid w:val="00191B6F"/>
    <w:rsid w:val="00194765"/>
    <w:rsid w:val="00196B36"/>
    <w:rsid w:val="00197220"/>
    <w:rsid w:val="001972AC"/>
    <w:rsid w:val="001A0F6C"/>
    <w:rsid w:val="001A274F"/>
    <w:rsid w:val="001B1078"/>
    <w:rsid w:val="001B4284"/>
    <w:rsid w:val="001B563B"/>
    <w:rsid w:val="001B6E3C"/>
    <w:rsid w:val="001D33E8"/>
    <w:rsid w:val="001D5D63"/>
    <w:rsid w:val="001E0DE5"/>
    <w:rsid w:val="001E2753"/>
    <w:rsid w:val="001E35E5"/>
    <w:rsid w:val="001F0D57"/>
    <w:rsid w:val="001F48B9"/>
    <w:rsid w:val="001F6342"/>
    <w:rsid w:val="001F6789"/>
    <w:rsid w:val="002004D3"/>
    <w:rsid w:val="00201D35"/>
    <w:rsid w:val="00206FAE"/>
    <w:rsid w:val="00211B53"/>
    <w:rsid w:val="0022283B"/>
    <w:rsid w:val="00225E53"/>
    <w:rsid w:val="00226F48"/>
    <w:rsid w:val="00231280"/>
    <w:rsid w:val="00231E92"/>
    <w:rsid w:val="00232DB8"/>
    <w:rsid w:val="002346FF"/>
    <w:rsid w:val="00235EE0"/>
    <w:rsid w:val="00237E56"/>
    <w:rsid w:val="00246AD3"/>
    <w:rsid w:val="00251F87"/>
    <w:rsid w:val="00262B1D"/>
    <w:rsid w:val="00265FBC"/>
    <w:rsid w:val="00266FEE"/>
    <w:rsid w:val="002706A3"/>
    <w:rsid w:val="002752EA"/>
    <w:rsid w:val="002812D2"/>
    <w:rsid w:val="002902C2"/>
    <w:rsid w:val="00291607"/>
    <w:rsid w:val="002937E9"/>
    <w:rsid w:val="00294E9A"/>
    <w:rsid w:val="002A2DA2"/>
    <w:rsid w:val="002A42C6"/>
    <w:rsid w:val="002A7338"/>
    <w:rsid w:val="002B2455"/>
    <w:rsid w:val="002B345B"/>
    <w:rsid w:val="002B3D6D"/>
    <w:rsid w:val="002B6C05"/>
    <w:rsid w:val="002C1225"/>
    <w:rsid w:val="002C1F3D"/>
    <w:rsid w:val="002D5F91"/>
    <w:rsid w:val="002E1616"/>
    <w:rsid w:val="002E2590"/>
    <w:rsid w:val="002E37D5"/>
    <w:rsid w:val="002F1FCF"/>
    <w:rsid w:val="002F2CD6"/>
    <w:rsid w:val="002F3662"/>
    <w:rsid w:val="002F52DE"/>
    <w:rsid w:val="00300B59"/>
    <w:rsid w:val="003051A0"/>
    <w:rsid w:val="00310BE9"/>
    <w:rsid w:val="00311465"/>
    <w:rsid w:val="0031274F"/>
    <w:rsid w:val="00320A9A"/>
    <w:rsid w:val="0032779B"/>
    <w:rsid w:val="00332589"/>
    <w:rsid w:val="00340349"/>
    <w:rsid w:val="00343D10"/>
    <w:rsid w:val="003458F7"/>
    <w:rsid w:val="00351B0D"/>
    <w:rsid w:val="00351DB7"/>
    <w:rsid w:val="00354178"/>
    <w:rsid w:val="00355A81"/>
    <w:rsid w:val="003575EC"/>
    <w:rsid w:val="00360984"/>
    <w:rsid w:val="003636A8"/>
    <w:rsid w:val="00367AAF"/>
    <w:rsid w:val="0037019C"/>
    <w:rsid w:val="0037371C"/>
    <w:rsid w:val="00373E39"/>
    <w:rsid w:val="0037410B"/>
    <w:rsid w:val="00375D8C"/>
    <w:rsid w:val="00384178"/>
    <w:rsid w:val="00385843"/>
    <w:rsid w:val="00385D84"/>
    <w:rsid w:val="003877F8"/>
    <w:rsid w:val="003954B3"/>
    <w:rsid w:val="003959C5"/>
    <w:rsid w:val="00397F7A"/>
    <w:rsid w:val="003A5C6F"/>
    <w:rsid w:val="003B5DAA"/>
    <w:rsid w:val="003C27E3"/>
    <w:rsid w:val="003C61C4"/>
    <w:rsid w:val="003C7D7F"/>
    <w:rsid w:val="003D342C"/>
    <w:rsid w:val="003E0130"/>
    <w:rsid w:val="003E17C8"/>
    <w:rsid w:val="003E43D8"/>
    <w:rsid w:val="003E44AE"/>
    <w:rsid w:val="003E6429"/>
    <w:rsid w:val="003F77D1"/>
    <w:rsid w:val="0040053D"/>
    <w:rsid w:val="00401EF8"/>
    <w:rsid w:val="004027F0"/>
    <w:rsid w:val="004041BD"/>
    <w:rsid w:val="00410801"/>
    <w:rsid w:val="0041377D"/>
    <w:rsid w:val="00417714"/>
    <w:rsid w:val="00421706"/>
    <w:rsid w:val="00421A30"/>
    <w:rsid w:val="0042461C"/>
    <w:rsid w:val="00427322"/>
    <w:rsid w:val="00431ACF"/>
    <w:rsid w:val="0043295B"/>
    <w:rsid w:val="004351A0"/>
    <w:rsid w:val="00437AF0"/>
    <w:rsid w:val="004450E2"/>
    <w:rsid w:val="00451F64"/>
    <w:rsid w:val="00452913"/>
    <w:rsid w:val="00454555"/>
    <w:rsid w:val="004578C8"/>
    <w:rsid w:val="00460705"/>
    <w:rsid w:val="00473D71"/>
    <w:rsid w:val="0048387F"/>
    <w:rsid w:val="00483DB8"/>
    <w:rsid w:val="00484231"/>
    <w:rsid w:val="00497F09"/>
    <w:rsid w:val="004A0729"/>
    <w:rsid w:val="004A2DB0"/>
    <w:rsid w:val="004A6543"/>
    <w:rsid w:val="004A71F6"/>
    <w:rsid w:val="004B4FD3"/>
    <w:rsid w:val="004C14C9"/>
    <w:rsid w:val="004C2EA1"/>
    <w:rsid w:val="004C3925"/>
    <w:rsid w:val="004C590A"/>
    <w:rsid w:val="004C73A9"/>
    <w:rsid w:val="004D0FA5"/>
    <w:rsid w:val="004D12CA"/>
    <w:rsid w:val="004D19DF"/>
    <w:rsid w:val="004D328D"/>
    <w:rsid w:val="004D4659"/>
    <w:rsid w:val="004E0076"/>
    <w:rsid w:val="004E2D77"/>
    <w:rsid w:val="004E5F57"/>
    <w:rsid w:val="004E70B7"/>
    <w:rsid w:val="004F117B"/>
    <w:rsid w:val="004F2995"/>
    <w:rsid w:val="004F2E80"/>
    <w:rsid w:val="004F6727"/>
    <w:rsid w:val="0050318E"/>
    <w:rsid w:val="00504697"/>
    <w:rsid w:val="00504839"/>
    <w:rsid w:val="00505F8F"/>
    <w:rsid w:val="005069F9"/>
    <w:rsid w:val="00506F55"/>
    <w:rsid w:val="00507759"/>
    <w:rsid w:val="00512094"/>
    <w:rsid w:val="0051669F"/>
    <w:rsid w:val="00516DB0"/>
    <w:rsid w:val="00517155"/>
    <w:rsid w:val="005175FD"/>
    <w:rsid w:val="00521D68"/>
    <w:rsid w:val="005245DC"/>
    <w:rsid w:val="00527265"/>
    <w:rsid w:val="00527AB4"/>
    <w:rsid w:val="00543BEB"/>
    <w:rsid w:val="00546817"/>
    <w:rsid w:val="00547D51"/>
    <w:rsid w:val="00552A2A"/>
    <w:rsid w:val="00555904"/>
    <w:rsid w:val="00557A4F"/>
    <w:rsid w:val="00557C15"/>
    <w:rsid w:val="00563B19"/>
    <w:rsid w:val="005661EB"/>
    <w:rsid w:val="0056668A"/>
    <w:rsid w:val="005848F5"/>
    <w:rsid w:val="0058612D"/>
    <w:rsid w:val="00586A75"/>
    <w:rsid w:val="00587688"/>
    <w:rsid w:val="005965E9"/>
    <w:rsid w:val="005A1054"/>
    <w:rsid w:val="005A2F56"/>
    <w:rsid w:val="005A359E"/>
    <w:rsid w:val="005A4F6C"/>
    <w:rsid w:val="005A64A3"/>
    <w:rsid w:val="005B0B28"/>
    <w:rsid w:val="005B3243"/>
    <w:rsid w:val="005B77FD"/>
    <w:rsid w:val="005C26AC"/>
    <w:rsid w:val="005C3A5F"/>
    <w:rsid w:val="005D4474"/>
    <w:rsid w:val="005D5051"/>
    <w:rsid w:val="005F5174"/>
    <w:rsid w:val="00601100"/>
    <w:rsid w:val="00601935"/>
    <w:rsid w:val="00603322"/>
    <w:rsid w:val="00604905"/>
    <w:rsid w:val="006200CE"/>
    <w:rsid w:val="0062489C"/>
    <w:rsid w:val="00625F5A"/>
    <w:rsid w:val="00631224"/>
    <w:rsid w:val="0063157B"/>
    <w:rsid w:val="00635998"/>
    <w:rsid w:val="00635FF2"/>
    <w:rsid w:val="006369FB"/>
    <w:rsid w:val="0064087D"/>
    <w:rsid w:val="006470FA"/>
    <w:rsid w:val="00656723"/>
    <w:rsid w:val="00664895"/>
    <w:rsid w:val="00667846"/>
    <w:rsid w:val="00667AAD"/>
    <w:rsid w:val="00675992"/>
    <w:rsid w:val="006810CE"/>
    <w:rsid w:val="00681538"/>
    <w:rsid w:val="0068582B"/>
    <w:rsid w:val="0068698A"/>
    <w:rsid w:val="006926BF"/>
    <w:rsid w:val="00694088"/>
    <w:rsid w:val="00695B0D"/>
    <w:rsid w:val="006967AF"/>
    <w:rsid w:val="0069712D"/>
    <w:rsid w:val="00697A35"/>
    <w:rsid w:val="006A0E62"/>
    <w:rsid w:val="006A1810"/>
    <w:rsid w:val="006A2B7D"/>
    <w:rsid w:val="006A34CE"/>
    <w:rsid w:val="006B2EE6"/>
    <w:rsid w:val="006C120B"/>
    <w:rsid w:val="006C5B3F"/>
    <w:rsid w:val="006D1D68"/>
    <w:rsid w:val="006D3741"/>
    <w:rsid w:val="006E0D4E"/>
    <w:rsid w:val="006E122A"/>
    <w:rsid w:val="006E1F17"/>
    <w:rsid w:val="006E273F"/>
    <w:rsid w:val="006E4CB1"/>
    <w:rsid w:val="006E4FFA"/>
    <w:rsid w:val="006F5BA9"/>
    <w:rsid w:val="00701A9B"/>
    <w:rsid w:val="00706A13"/>
    <w:rsid w:val="007134DB"/>
    <w:rsid w:val="007249F7"/>
    <w:rsid w:val="0073092B"/>
    <w:rsid w:val="00732095"/>
    <w:rsid w:val="00734737"/>
    <w:rsid w:val="00737CF8"/>
    <w:rsid w:val="00742600"/>
    <w:rsid w:val="00742C6E"/>
    <w:rsid w:val="007441BE"/>
    <w:rsid w:val="0074564E"/>
    <w:rsid w:val="00747B8F"/>
    <w:rsid w:val="007500C8"/>
    <w:rsid w:val="007508CB"/>
    <w:rsid w:val="00766D76"/>
    <w:rsid w:val="0076771F"/>
    <w:rsid w:val="00774B15"/>
    <w:rsid w:val="00774C3A"/>
    <w:rsid w:val="00776F0C"/>
    <w:rsid w:val="00783015"/>
    <w:rsid w:val="007839F5"/>
    <w:rsid w:val="0078559B"/>
    <w:rsid w:val="00785C42"/>
    <w:rsid w:val="007A0168"/>
    <w:rsid w:val="007A3A8C"/>
    <w:rsid w:val="007A5BFA"/>
    <w:rsid w:val="007A5DB9"/>
    <w:rsid w:val="007B0F40"/>
    <w:rsid w:val="007B3F6E"/>
    <w:rsid w:val="007B5832"/>
    <w:rsid w:val="007B5F26"/>
    <w:rsid w:val="007C11FC"/>
    <w:rsid w:val="007C4812"/>
    <w:rsid w:val="007C50A1"/>
    <w:rsid w:val="007C793B"/>
    <w:rsid w:val="007D469D"/>
    <w:rsid w:val="007D798D"/>
    <w:rsid w:val="007E14E7"/>
    <w:rsid w:val="007F0779"/>
    <w:rsid w:val="007F4CDF"/>
    <w:rsid w:val="007F5A24"/>
    <w:rsid w:val="007F72CF"/>
    <w:rsid w:val="00803EBF"/>
    <w:rsid w:val="0081404C"/>
    <w:rsid w:val="00814C7C"/>
    <w:rsid w:val="008157BF"/>
    <w:rsid w:val="00816AFE"/>
    <w:rsid w:val="00821D05"/>
    <w:rsid w:val="00822FA8"/>
    <w:rsid w:val="00825B0A"/>
    <w:rsid w:val="00827550"/>
    <w:rsid w:val="008326A0"/>
    <w:rsid w:val="0083375E"/>
    <w:rsid w:val="00833BD7"/>
    <w:rsid w:val="00834AD1"/>
    <w:rsid w:val="008368CA"/>
    <w:rsid w:val="00841505"/>
    <w:rsid w:val="0085143F"/>
    <w:rsid w:val="0085237B"/>
    <w:rsid w:val="0086379A"/>
    <w:rsid w:val="00866C6E"/>
    <w:rsid w:val="00866E71"/>
    <w:rsid w:val="008772FF"/>
    <w:rsid w:val="00877D0D"/>
    <w:rsid w:val="008806C7"/>
    <w:rsid w:val="00883807"/>
    <w:rsid w:val="00883A7C"/>
    <w:rsid w:val="00883B42"/>
    <w:rsid w:val="00884161"/>
    <w:rsid w:val="00885C80"/>
    <w:rsid w:val="00887F21"/>
    <w:rsid w:val="00890BBD"/>
    <w:rsid w:val="00892E58"/>
    <w:rsid w:val="00897950"/>
    <w:rsid w:val="008A1EBB"/>
    <w:rsid w:val="008A235F"/>
    <w:rsid w:val="008A4052"/>
    <w:rsid w:val="008B057E"/>
    <w:rsid w:val="008B0D77"/>
    <w:rsid w:val="008B436D"/>
    <w:rsid w:val="008B6255"/>
    <w:rsid w:val="008B6367"/>
    <w:rsid w:val="008C074F"/>
    <w:rsid w:val="008C1059"/>
    <w:rsid w:val="008C12B6"/>
    <w:rsid w:val="008C2579"/>
    <w:rsid w:val="008C2F09"/>
    <w:rsid w:val="008D2E85"/>
    <w:rsid w:val="008D3D2D"/>
    <w:rsid w:val="008D40CD"/>
    <w:rsid w:val="008D4965"/>
    <w:rsid w:val="008D6024"/>
    <w:rsid w:val="008D77DA"/>
    <w:rsid w:val="008E36EE"/>
    <w:rsid w:val="008E6330"/>
    <w:rsid w:val="008F587E"/>
    <w:rsid w:val="008F681D"/>
    <w:rsid w:val="00905AAF"/>
    <w:rsid w:val="00906519"/>
    <w:rsid w:val="00907699"/>
    <w:rsid w:val="00913B78"/>
    <w:rsid w:val="00914741"/>
    <w:rsid w:val="00915A3F"/>
    <w:rsid w:val="00917FB7"/>
    <w:rsid w:val="009226CE"/>
    <w:rsid w:val="00926C1E"/>
    <w:rsid w:val="00927CF2"/>
    <w:rsid w:val="009324C4"/>
    <w:rsid w:val="0093299A"/>
    <w:rsid w:val="00933D12"/>
    <w:rsid w:val="009362BA"/>
    <w:rsid w:val="00937AD5"/>
    <w:rsid w:val="00943925"/>
    <w:rsid w:val="00945411"/>
    <w:rsid w:val="00950EAF"/>
    <w:rsid w:val="00961546"/>
    <w:rsid w:val="00962DC4"/>
    <w:rsid w:val="009741FD"/>
    <w:rsid w:val="00982CAF"/>
    <w:rsid w:val="00986886"/>
    <w:rsid w:val="0099633A"/>
    <w:rsid w:val="009A67B6"/>
    <w:rsid w:val="009B22B6"/>
    <w:rsid w:val="009B2E29"/>
    <w:rsid w:val="009B41FF"/>
    <w:rsid w:val="009B7FC2"/>
    <w:rsid w:val="009C4347"/>
    <w:rsid w:val="009C5072"/>
    <w:rsid w:val="009C6424"/>
    <w:rsid w:val="009C6603"/>
    <w:rsid w:val="009D1BA1"/>
    <w:rsid w:val="009D1F2B"/>
    <w:rsid w:val="009D255D"/>
    <w:rsid w:val="009D45C1"/>
    <w:rsid w:val="009E34DA"/>
    <w:rsid w:val="009E370B"/>
    <w:rsid w:val="009E426E"/>
    <w:rsid w:val="009E5F3E"/>
    <w:rsid w:val="009E6422"/>
    <w:rsid w:val="009F04C1"/>
    <w:rsid w:val="009F0C56"/>
    <w:rsid w:val="009F668D"/>
    <w:rsid w:val="00A00189"/>
    <w:rsid w:val="00A00BA0"/>
    <w:rsid w:val="00A052E4"/>
    <w:rsid w:val="00A05852"/>
    <w:rsid w:val="00A108A5"/>
    <w:rsid w:val="00A10B9A"/>
    <w:rsid w:val="00A217CE"/>
    <w:rsid w:val="00A36B4C"/>
    <w:rsid w:val="00A37289"/>
    <w:rsid w:val="00A40CFE"/>
    <w:rsid w:val="00A45222"/>
    <w:rsid w:val="00A50A15"/>
    <w:rsid w:val="00A50E21"/>
    <w:rsid w:val="00A53D17"/>
    <w:rsid w:val="00A55891"/>
    <w:rsid w:val="00A57B26"/>
    <w:rsid w:val="00A57D15"/>
    <w:rsid w:val="00A61841"/>
    <w:rsid w:val="00A619EB"/>
    <w:rsid w:val="00A63F90"/>
    <w:rsid w:val="00A66E37"/>
    <w:rsid w:val="00A8321D"/>
    <w:rsid w:val="00A8634C"/>
    <w:rsid w:val="00A873E2"/>
    <w:rsid w:val="00A916EA"/>
    <w:rsid w:val="00A96101"/>
    <w:rsid w:val="00AA0D25"/>
    <w:rsid w:val="00AB02D2"/>
    <w:rsid w:val="00AB0347"/>
    <w:rsid w:val="00AB5DBD"/>
    <w:rsid w:val="00AB7CFD"/>
    <w:rsid w:val="00AB7D23"/>
    <w:rsid w:val="00AC0037"/>
    <w:rsid w:val="00AC16E9"/>
    <w:rsid w:val="00AC585C"/>
    <w:rsid w:val="00AC7E17"/>
    <w:rsid w:val="00AD0C53"/>
    <w:rsid w:val="00AD1C31"/>
    <w:rsid w:val="00AD477A"/>
    <w:rsid w:val="00AE156D"/>
    <w:rsid w:val="00AE3B51"/>
    <w:rsid w:val="00AE441A"/>
    <w:rsid w:val="00AE4468"/>
    <w:rsid w:val="00AE7FFB"/>
    <w:rsid w:val="00AF0CFC"/>
    <w:rsid w:val="00AF4C36"/>
    <w:rsid w:val="00AF7800"/>
    <w:rsid w:val="00B00889"/>
    <w:rsid w:val="00B012ED"/>
    <w:rsid w:val="00B06EC2"/>
    <w:rsid w:val="00B150DC"/>
    <w:rsid w:val="00B24D23"/>
    <w:rsid w:val="00B25508"/>
    <w:rsid w:val="00B26858"/>
    <w:rsid w:val="00B31CE6"/>
    <w:rsid w:val="00B326BB"/>
    <w:rsid w:val="00B328C9"/>
    <w:rsid w:val="00B41518"/>
    <w:rsid w:val="00B44A09"/>
    <w:rsid w:val="00B45FEF"/>
    <w:rsid w:val="00B60165"/>
    <w:rsid w:val="00B610B1"/>
    <w:rsid w:val="00B622A3"/>
    <w:rsid w:val="00B642B6"/>
    <w:rsid w:val="00B65080"/>
    <w:rsid w:val="00B70267"/>
    <w:rsid w:val="00B714AF"/>
    <w:rsid w:val="00B7230D"/>
    <w:rsid w:val="00B774E7"/>
    <w:rsid w:val="00B82E2E"/>
    <w:rsid w:val="00B856B5"/>
    <w:rsid w:val="00B8573F"/>
    <w:rsid w:val="00BA513A"/>
    <w:rsid w:val="00BA5A52"/>
    <w:rsid w:val="00BA726A"/>
    <w:rsid w:val="00BB5BE6"/>
    <w:rsid w:val="00BB6AB9"/>
    <w:rsid w:val="00BC0085"/>
    <w:rsid w:val="00BC2D12"/>
    <w:rsid w:val="00BC4E6D"/>
    <w:rsid w:val="00BC5457"/>
    <w:rsid w:val="00BD5207"/>
    <w:rsid w:val="00BD7042"/>
    <w:rsid w:val="00BD7BC1"/>
    <w:rsid w:val="00BE0384"/>
    <w:rsid w:val="00BE141C"/>
    <w:rsid w:val="00BE188C"/>
    <w:rsid w:val="00BE209E"/>
    <w:rsid w:val="00BE43CE"/>
    <w:rsid w:val="00BF206B"/>
    <w:rsid w:val="00BF3276"/>
    <w:rsid w:val="00BF4702"/>
    <w:rsid w:val="00C002DE"/>
    <w:rsid w:val="00C03334"/>
    <w:rsid w:val="00C0409E"/>
    <w:rsid w:val="00C23F83"/>
    <w:rsid w:val="00C277AE"/>
    <w:rsid w:val="00C309C5"/>
    <w:rsid w:val="00C32F30"/>
    <w:rsid w:val="00C3773D"/>
    <w:rsid w:val="00C41E4B"/>
    <w:rsid w:val="00C42A49"/>
    <w:rsid w:val="00C4436E"/>
    <w:rsid w:val="00C4778A"/>
    <w:rsid w:val="00C5049D"/>
    <w:rsid w:val="00C53BFF"/>
    <w:rsid w:val="00C57BB9"/>
    <w:rsid w:val="00C6480D"/>
    <w:rsid w:val="00C65A4D"/>
    <w:rsid w:val="00C750B0"/>
    <w:rsid w:val="00C8033B"/>
    <w:rsid w:val="00C803A6"/>
    <w:rsid w:val="00C82B39"/>
    <w:rsid w:val="00C8312E"/>
    <w:rsid w:val="00C833C6"/>
    <w:rsid w:val="00C83D9E"/>
    <w:rsid w:val="00C85289"/>
    <w:rsid w:val="00C95C9D"/>
    <w:rsid w:val="00CB0CFA"/>
    <w:rsid w:val="00CC490F"/>
    <w:rsid w:val="00CC5114"/>
    <w:rsid w:val="00CC684F"/>
    <w:rsid w:val="00CC7057"/>
    <w:rsid w:val="00CC7B1C"/>
    <w:rsid w:val="00CC7F16"/>
    <w:rsid w:val="00CD189E"/>
    <w:rsid w:val="00CD45A9"/>
    <w:rsid w:val="00CE02D0"/>
    <w:rsid w:val="00CF4345"/>
    <w:rsid w:val="00CF50A9"/>
    <w:rsid w:val="00D0275A"/>
    <w:rsid w:val="00D07B4D"/>
    <w:rsid w:val="00D11365"/>
    <w:rsid w:val="00D172B7"/>
    <w:rsid w:val="00D17D2F"/>
    <w:rsid w:val="00D21602"/>
    <w:rsid w:val="00D23845"/>
    <w:rsid w:val="00D31050"/>
    <w:rsid w:val="00D32D55"/>
    <w:rsid w:val="00D3494C"/>
    <w:rsid w:val="00D40039"/>
    <w:rsid w:val="00D414F4"/>
    <w:rsid w:val="00D41CC0"/>
    <w:rsid w:val="00D428E5"/>
    <w:rsid w:val="00D44AC2"/>
    <w:rsid w:val="00D474CB"/>
    <w:rsid w:val="00D47738"/>
    <w:rsid w:val="00D5164D"/>
    <w:rsid w:val="00D54899"/>
    <w:rsid w:val="00D63045"/>
    <w:rsid w:val="00D71993"/>
    <w:rsid w:val="00D769F7"/>
    <w:rsid w:val="00D81726"/>
    <w:rsid w:val="00D81C5D"/>
    <w:rsid w:val="00D864FE"/>
    <w:rsid w:val="00D87F22"/>
    <w:rsid w:val="00DA316D"/>
    <w:rsid w:val="00DA749E"/>
    <w:rsid w:val="00DB3AF1"/>
    <w:rsid w:val="00DC1F77"/>
    <w:rsid w:val="00DC2639"/>
    <w:rsid w:val="00DC594B"/>
    <w:rsid w:val="00DC666E"/>
    <w:rsid w:val="00DC6760"/>
    <w:rsid w:val="00DD14D7"/>
    <w:rsid w:val="00DD3B44"/>
    <w:rsid w:val="00DD3BAD"/>
    <w:rsid w:val="00DD42D0"/>
    <w:rsid w:val="00DD5654"/>
    <w:rsid w:val="00DD634E"/>
    <w:rsid w:val="00DD6A76"/>
    <w:rsid w:val="00DE0E7A"/>
    <w:rsid w:val="00DE1E9E"/>
    <w:rsid w:val="00DE3890"/>
    <w:rsid w:val="00DE6C6E"/>
    <w:rsid w:val="00DF0ECA"/>
    <w:rsid w:val="00DF181E"/>
    <w:rsid w:val="00DF6BC4"/>
    <w:rsid w:val="00E00D25"/>
    <w:rsid w:val="00E011E0"/>
    <w:rsid w:val="00E01C7D"/>
    <w:rsid w:val="00E03FC4"/>
    <w:rsid w:val="00E04AFA"/>
    <w:rsid w:val="00E0728E"/>
    <w:rsid w:val="00E21693"/>
    <w:rsid w:val="00E21D7E"/>
    <w:rsid w:val="00E26D85"/>
    <w:rsid w:val="00E302E5"/>
    <w:rsid w:val="00E30D31"/>
    <w:rsid w:val="00E322DE"/>
    <w:rsid w:val="00E32F4C"/>
    <w:rsid w:val="00E3309E"/>
    <w:rsid w:val="00E33418"/>
    <w:rsid w:val="00E35B05"/>
    <w:rsid w:val="00E4189B"/>
    <w:rsid w:val="00E460BE"/>
    <w:rsid w:val="00E52BA2"/>
    <w:rsid w:val="00E5589C"/>
    <w:rsid w:val="00E57891"/>
    <w:rsid w:val="00E64365"/>
    <w:rsid w:val="00E67682"/>
    <w:rsid w:val="00E7166C"/>
    <w:rsid w:val="00E72F4B"/>
    <w:rsid w:val="00E74232"/>
    <w:rsid w:val="00E75E5D"/>
    <w:rsid w:val="00E81C50"/>
    <w:rsid w:val="00E83403"/>
    <w:rsid w:val="00E83793"/>
    <w:rsid w:val="00E8442D"/>
    <w:rsid w:val="00E84997"/>
    <w:rsid w:val="00E908FB"/>
    <w:rsid w:val="00E92D95"/>
    <w:rsid w:val="00E9349E"/>
    <w:rsid w:val="00E944E8"/>
    <w:rsid w:val="00E973BB"/>
    <w:rsid w:val="00EA2644"/>
    <w:rsid w:val="00EA4EA6"/>
    <w:rsid w:val="00EA7558"/>
    <w:rsid w:val="00EB3D9E"/>
    <w:rsid w:val="00EC3070"/>
    <w:rsid w:val="00EC3C60"/>
    <w:rsid w:val="00EC546C"/>
    <w:rsid w:val="00ED0DAC"/>
    <w:rsid w:val="00EE1223"/>
    <w:rsid w:val="00EE6540"/>
    <w:rsid w:val="00EE76AC"/>
    <w:rsid w:val="00EF3CB5"/>
    <w:rsid w:val="00EF6795"/>
    <w:rsid w:val="00F00784"/>
    <w:rsid w:val="00F074B5"/>
    <w:rsid w:val="00F1501B"/>
    <w:rsid w:val="00F26A8F"/>
    <w:rsid w:val="00F26C5C"/>
    <w:rsid w:val="00F3023F"/>
    <w:rsid w:val="00F4654F"/>
    <w:rsid w:val="00F50C0A"/>
    <w:rsid w:val="00F5159F"/>
    <w:rsid w:val="00F5168A"/>
    <w:rsid w:val="00F61D17"/>
    <w:rsid w:val="00F625BB"/>
    <w:rsid w:val="00F74D90"/>
    <w:rsid w:val="00F8205D"/>
    <w:rsid w:val="00F864FA"/>
    <w:rsid w:val="00F90511"/>
    <w:rsid w:val="00F914EE"/>
    <w:rsid w:val="00F946CB"/>
    <w:rsid w:val="00F94937"/>
    <w:rsid w:val="00F94D96"/>
    <w:rsid w:val="00FA26A8"/>
    <w:rsid w:val="00FA40E4"/>
    <w:rsid w:val="00FA4ECC"/>
    <w:rsid w:val="00FB27FE"/>
    <w:rsid w:val="00FC4CA8"/>
    <w:rsid w:val="00FC6526"/>
    <w:rsid w:val="00FD403B"/>
    <w:rsid w:val="00FD444E"/>
    <w:rsid w:val="00FE68E3"/>
    <w:rsid w:val="00FE6F44"/>
    <w:rsid w:val="00FF17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D"/>
    <w:rPr>
      <w:lang w:val="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sz w:val="24"/>
      <w:lang w:eastAsia="es-ES"/>
    </w:rPr>
  </w:style>
  <w:style w:type="paragraph" w:styleId="Piedepgina">
    <w:name w:val="footer"/>
    <w:basedOn w:val="Normal"/>
    <w:link w:val="PiedepginaCar"/>
    <w:uiPriority w:val="99"/>
    <w:pPr>
      <w:tabs>
        <w:tab w:val="center" w:pos="4419"/>
        <w:tab w:val="right" w:pos="8838"/>
      </w:tabs>
    </w:pPr>
    <w:rPr>
      <w:sz w:val="24"/>
      <w:lang w:eastAsia="es-ES"/>
    </w:r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lang w:eastAsia="es-ES"/>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rPr>
      <w:sz w:val="24"/>
      <w:lang w:eastAsia="es-ES"/>
    </w:r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rPr>
      <w:sz w:val="24"/>
      <w:lang w:eastAsia="es-ES"/>
    </w:r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nhideWhenUsed/>
    <w:rsid w:val="00905AAF"/>
    <w:pPr>
      <w:spacing w:after="120" w:line="480" w:lineRule="auto"/>
      <w:ind w:left="283"/>
    </w:pPr>
    <w:rPr>
      <w:sz w:val="24"/>
      <w:lang w:eastAsia="es-ES"/>
    </w:rPr>
  </w:style>
  <w:style w:type="character" w:customStyle="1" w:styleId="Sangra2detindependienteCar">
    <w:name w:val="Sangría 2 de t. independiente Car"/>
    <w:basedOn w:val="Fuentedeprrafopredeter"/>
    <w:link w:val="Sangra2detindependiente"/>
    <w:rsid w:val="00905AAF"/>
    <w:rPr>
      <w:sz w:val="24"/>
      <w:lang w:val="es-ES" w:eastAsia="es-ES"/>
    </w:rPr>
  </w:style>
  <w:style w:type="paragraph" w:styleId="Prrafodelista">
    <w:name w:val="List Paragraph"/>
    <w:basedOn w:val="Normal"/>
    <w:uiPriority w:val="34"/>
    <w:qFormat/>
    <w:rsid w:val="00231280"/>
    <w:pPr>
      <w:ind w:left="720"/>
      <w:contextualSpacing/>
    </w:pPr>
    <w:rPr>
      <w:sz w:val="24"/>
      <w:lang w:eastAsia="es-ES"/>
    </w:r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94937"/>
    <w:rPr>
      <w:sz w:val="24"/>
      <w:lang w:val="es-ES" w:eastAsia="es-ES"/>
    </w:rPr>
  </w:style>
  <w:style w:type="paragraph" w:customStyle="1" w:styleId="sala">
    <w:name w:val="sala"/>
    <w:basedOn w:val="Normal"/>
    <w:rsid w:val="00311465"/>
    <w:pPr>
      <w:ind w:firstLine="2835"/>
      <w:jc w:val="both"/>
    </w:pPr>
    <w:rPr>
      <w:rFonts w:ascii="Courier" w:hAnsi="Courier"/>
      <w:sz w:val="24"/>
      <w:lang w:val="es-ES_tradnl" w:eastAsia="es-ES"/>
    </w:rPr>
  </w:style>
  <w:style w:type="paragraph" w:customStyle="1" w:styleId="ESCUDO">
    <w:name w:val="ESCUDO"/>
    <w:basedOn w:val="Encabezado"/>
    <w:rsid w:val="008D3D2D"/>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8D3D2D"/>
    <w:pPr>
      <w:tabs>
        <w:tab w:val="clear" w:pos="4419"/>
        <w:tab w:val="clear" w:pos="8838"/>
      </w:tabs>
      <w:suppressAutoHyphens/>
      <w:spacing w:after="60" w:line="288" w:lineRule="auto"/>
      <w:jc w:val="center"/>
    </w:pPr>
    <w:rPr>
      <w:kern w:val="1"/>
      <w:sz w:val="28"/>
      <w:szCs w:val="32"/>
      <w:lang w:val="es-MX" w:eastAsia="ar-SA"/>
    </w:rPr>
  </w:style>
  <w:style w:type="paragraph" w:styleId="Textonotaalfinal">
    <w:name w:val="endnote text"/>
    <w:basedOn w:val="Normal"/>
    <w:link w:val="TextonotaalfinalCar"/>
    <w:uiPriority w:val="99"/>
    <w:semiHidden/>
    <w:unhideWhenUsed/>
    <w:rsid w:val="00351DB7"/>
  </w:style>
  <w:style w:type="character" w:customStyle="1" w:styleId="TextonotaalfinalCar">
    <w:name w:val="Texto nota al final Car"/>
    <w:basedOn w:val="Fuentedeprrafopredeter"/>
    <w:link w:val="Textonotaalfinal"/>
    <w:uiPriority w:val="99"/>
    <w:semiHidden/>
    <w:rsid w:val="00351DB7"/>
    <w:rPr>
      <w:lang w:val="es-ES"/>
    </w:rPr>
  </w:style>
  <w:style w:type="character" w:styleId="Refdenotaalfinal">
    <w:name w:val="endnote reference"/>
    <w:basedOn w:val="Fuentedeprrafopredeter"/>
    <w:uiPriority w:val="99"/>
    <w:semiHidden/>
    <w:unhideWhenUsed/>
    <w:rsid w:val="00351DB7"/>
    <w:rPr>
      <w:vertAlign w:val="superscript"/>
    </w:rPr>
  </w:style>
  <w:style w:type="paragraph" w:styleId="Textonotapie">
    <w:name w:val="footnote text"/>
    <w:basedOn w:val="Normal"/>
    <w:link w:val="TextonotapieCar"/>
    <w:uiPriority w:val="99"/>
    <w:unhideWhenUsed/>
    <w:rsid w:val="00351DB7"/>
  </w:style>
  <w:style w:type="character" w:customStyle="1" w:styleId="TextonotapieCar">
    <w:name w:val="Texto nota pie Car"/>
    <w:basedOn w:val="Fuentedeprrafopredeter"/>
    <w:link w:val="Textonotapie"/>
    <w:uiPriority w:val="99"/>
    <w:rsid w:val="00351DB7"/>
    <w:rPr>
      <w:lang w:val="es-ES"/>
    </w:rPr>
  </w:style>
  <w:style w:type="character" w:styleId="Refdenotaalpie">
    <w:name w:val="footnote reference"/>
    <w:basedOn w:val="Fuentedeprrafopredeter"/>
    <w:uiPriority w:val="99"/>
    <w:semiHidden/>
    <w:unhideWhenUsed/>
    <w:rsid w:val="00351DB7"/>
    <w:rPr>
      <w:vertAlign w:val="superscript"/>
    </w:rPr>
  </w:style>
  <w:style w:type="paragraph" w:customStyle="1" w:styleId="Default">
    <w:name w:val="Default"/>
    <w:rsid w:val="00601100"/>
    <w:pPr>
      <w:autoSpaceDE w:val="0"/>
      <w:autoSpaceDN w:val="0"/>
      <w:adjustRightInd w:val="0"/>
    </w:pPr>
    <w:rPr>
      <w:color w:val="000000"/>
      <w:sz w:val="24"/>
      <w:szCs w:val="24"/>
    </w:rPr>
  </w:style>
  <w:style w:type="paragraph" w:styleId="NormalWeb">
    <w:name w:val="Normal (Web)"/>
    <w:basedOn w:val="Normal"/>
    <w:uiPriority w:val="99"/>
    <w:semiHidden/>
    <w:unhideWhenUsed/>
    <w:rsid w:val="00601100"/>
    <w:rPr>
      <w:sz w:val="24"/>
      <w:szCs w:val="24"/>
    </w:rPr>
  </w:style>
  <w:style w:type="character" w:styleId="Textoennegrita">
    <w:name w:val="Strong"/>
    <w:uiPriority w:val="22"/>
    <w:qFormat/>
    <w:rsid w:val="00601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D"/>
    <w:rPr>
      <w:lang w:val="es-ES"/>
    </w:rPr>
  </w:style>
  <w:style w:type="paragraph" w:styleId="Ttulo1">
    <w:name w:val="heading 1"/>
    <w:basedOn w:val="Normal"/>
    <w:next w:val="Normal"/>
    <w:link w:val="Ttulo1Car"/>
    <w:qFormat/>
    <w:rsid w:val="00742600"/>
    <w:pPr>
      <w:keepNext/>
      <w:jc w:val="both"/>
      <w:outlineLvl w:val="0"/>
    </w:pPr>
    <w:rPr>
      <w:rFonts w:ascii="Courier New" w:hAnsi="Courier New"/>
      <w:b/>
      <w:sz w:val="22"/>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sz w:val="24"/>
      <w:lang w:eastAsia="es-ES"/>
    </w:rPr>
  </w:style>
  <w:style w:type="paragraph" w:styleId="Piedepgina">
    <w:name w:val="footer"/>
    <w:basedOn w:val="Normal"/>
    <w:link w:val="PiedepginaCar"/>
    <w:uiPriority w:val="99"/>
    <w:pPr>
      <w:tabs>
        <w:tab w:val="center" w:pos="4419"/>
        <w:tab w:val="right" w:pos="8838"/>
      </w:tabs>
    </w:pPr>
    <w:rPr>
      <w:sz w:val="24"/>
      <w:lang w:eastAsia="es-ES"/>
    </w:rPr>
  </w:style>
  <w:style w:type="character" w:customStyle="1" w:styleId="PiedepginaCar">
    <w:name w:val="Pie de página Car"/>
    <w:basedOn w:val="Fuentedeprrafopredeter"/>
    <w:link w:val="Piedepgina"/>
    <w:uiPriority w:val="99"/>
    <w:rsid w:val="00340349"/>
    <w:rPr>
      <w:sz w:val="24"/>
      <w:lang w:val="es-ES" w:eastAsia="es-ES"/>
    </w:rPr>
  </w:style>
  <w:style w:type="paragraph" w:styleId="Textodeglobo">
    <w:name w:val="Balloon Text"/>
    <w:basedOn w:val="Normal"/>
    <w:link w:val="TextodegloboCar"/>
    <w:uiPriority w:val="99"/>
    <w:semiHidden/>
    <w:unhideWhenUsed/>
    <w:rsid w:val="005A64A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5A64A3"/>
    <w:rPr>
      <w:rFonts w:ascii="Tahoma" w:hAnsi="Tahoma" w:cs="Tahoma"/>
      <w:sz w:val="16"/>
      <w:szCs w:val="16"/>
      <w:lang w:val="es-ES" w:eastAsia="es-ES"/>
    </w:rPr>
  </w:style>
  <w:style w:type="character" w:customStyle="1" w:styleId="Ttulo1Car">
    <w:name w:val="Título 1 Car"/>
    <w:basedOn w:val="Fuentedeprrafopredeter"/>
    <w:link w:val="Ttulo1"/>
    <w:rsid w:val="00742600"/>
    <w:rPr>
      <w:rFonts w:ascii="Courier New" w:hAnsi="Courier New"/>
      <w:b/>
      <w:sz w:val="22"/>
      <w:u w:val="single"/>
      <w:lang w:val="es-ES_tradnl" w:eastAsia="es-ES"/>
    </w:rPr>
  </w:style>
  <w:style w:type="paragraph" w:styleId="Sangradetextonormal">
    <w:name w:val="Body Text Indent"/>
    <w:basedOn w:val="Normal"/>
    <w:link w:val="SangradetextonormalCar"/>
    <w:rsid w:val="00742600"/>
    <w:pPr>
      <w:ind w:firstLine="2835"/>
      <w:jc w:val="both"/>
    </w:pPr>
    <w:rPr>
      <w:rFonts w:ascii="Courier New" w:hAnsi="Courier New"/>
      <w:sz w:val="22"/>
      <w:lang w:eastAsia="es-ES"/>
    </w:rPr>
  </w:style>
  <w:style w:type="character" w:customStyle="1" w:styleId="SangradetextonormalCar">
    <w:name w:val="Sangría de texto normal Car"/>
    <w:basedOn w:val="Fuentedeprrafopredeter"/>
    <w:link w:val="Sangradetextonormal"/>
    <w:rsid w:val="00742600"/>
    <w:rPr>
      <w:rFonts w:ascii="Courier New" w:hAnsi="Courier New"/>
      <w:sz w:val="22"/>
      <w:lang w:val="es-ES" w:eastAsia="es-ES"/>
    </w:rPr>
  </w:style>
  <w:style w:type="paragraph" w:styleId="Textoindependiente">
    <w:name w:val="Body Text"/>
    <w:basedOn w:val="Normal"/>
    <w:link w:val="TextoindependienteCar"/>
    <w:uiPriority w:val="99"/>
    <w:unhideWhenUsed/>
    <w:rsid w:val="00F864FA"/>
    <w:pPr>
      <w:spacing w:after="120"/>
    </w:pPr>
    <w:rPr>
      <w:sz w:val="24"/>
      <w:lang w:eastAsia="es-ES"/>
    </w:rPr>
  </w:style>
  <w:style w:type="character" w:customStyle="1" w:styleId="TextoindependienteCar">
    <w:name w:val="Texto independiente Car"/>
    <w:basedOn w:val="Fuentedeprrafopredeter"/>
    <w:link w:val="Textoindependiente"/>
    <w:uiPriority w:val="99"/>
    <w:rsid w:val="00F864FA"/>
    <w:rPr>
      <w:sz w:val="24"/>
      <w:lang w:val="es-ES" w:eastAsia="es-ES"/>
    </w:rPr>
  </w:style>
  <w:style w:type="paragraph" w:styleId="Textoindependiente2">
    <w:name w:val="Body Text 2"/>
    <w:basedOn w:val="Normal"/>
    <w:link w:val="Textoindependiente2Car"/>
    <w:uiPriority w:val="99"/>
    <w:unhideWhenUsed/>
    <w:rsid w:val="00905AAF"/>
    <w:pPr>
      <w:spacing w:after="120" w:line="480" w:lineRule="auto"/>
    </w:pPr>
    <w:rPr>
      <w:sz w:val="24"/>
      <w:lang w:eastAsia="es-ES"/>
    </w:rPr>
  </w:style>
  <w:style w:type="character" w:customStyle="1" w:styleId="Textoindependiente2Car">
    <w:name w:val="Texto independiente 2 Car"/>
    <w:basedOn w:val="Fuentedeprrafopredeter"/>
    <w:link w:val="Textoindependiente2"/>
    <w:uiPriority w:val="99"/>
    <w:rsid w:val="00905AAF"/>
    <w:rPr>
      <w:sz w:val="24"/>
      <w:lang w:val="es-ES" w:eastAsia="es-ES"/>
    </w:rPr>
  </w:style>
  <w:style w:type="paragraph" w:styleId="Sangra2detindependiente">
    <w:name w:val="Body Text Indent 2"/>
    <w:basedOn w:val="Normal"/>
    <w:link w:val="Sangra2detindependienteCar"/>
    <w:unhideWhenUsed/>
    <w:rsid w:val="00905AAF"/>
    <w:pPr>
      <w:spacing w:after="120" w:line="480" w:lineRule="auto"/>
      <w:ind w:left="283"/>
    </w:pPr>
    <w:rPr>
      <w:sz w:val="24"/>
      <w:lang w:eastAsia="es-ES"/>
    </w:rPr>
  </w:style>
  <w:style w:type="character" w:customStyle="1" w:styleId="Sangra2detindependienteCar">
    <w:name w:val="Sangría 2 de t. independiente Car"/>
    <w:basedOn w:val="Fuentedeprrafopredeter"/>
    <w:link w:val="Sangra2detindependiente"/>
    <w:rsid w:val="00905AAF"/>
    <w:rPr>
      <w:sz w:val="24"/>
      <w:lang w:val="es-ES" w:eastAsia="es-ES"/>
    </w:rPr>
  </w:style>
  <w:style w:type="paragraph" w:styleId="Prrafodelista">
    <w:name w:val="List Paragraph"/>
    <w:basedOn w:val="Normal"/>
    <w:uiPriority w:val="34"/>
    <w:qFormat/>
    <w:rsid w:val="00231280"/>
    <w:pPr>
      <w:ind w:left="720"/>
      <w:contextualSpacing/>
    </w:pPr>
    <w:rPr>
      <w:sz w:val="24"/>
      <w:lang w:eastAsia="es-ES"/>
    </w:rPr>
  </w:style>
  <w:style w:type="character" w:styleId="Hipervnculo">
    <w:name w:val="Hyperlink"/>
    <w:rsid w:val="00100B35"/>
    <w:rPr>
      <w:color w:val="000080"/>
      <w:u w:val="single"/>
    </w:rPr>
  </w:style>
  <w:style w:type="table" w:styleId="Tablaconcuadrcula">
    <w:name w:val="Table Grid"/>
    <w:basedOn w:val="Tablanormal"/>
    <w:uiPriority w:val="59"/>
    <w:rsid w:val="00E8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94937"/>
    <w:rPr>
      <w:sz w:val="24"/>
      <w:lang w:val="es-ES" w:eastAsia="es-ES"/>
    </w:rPr>
  </w:style>
  <w:style w:type="paragraph" w:customStyle="1" w:styleId="sala">
    <w:name w:val="sala"/>
    <w:basedOn w:val="Normal"/>
    <w:rsid w:val="00311465"/>
    <w:pPr>
      <w:ind w:firstLine="2835"/>
      <w:jc w:val="both"/>
    </w:pPr>
    <w:rPr>
      <w:rFonts w:ascii="Courier" w:hAnsi="Courier"/>
      <w:sz w:val="24"/>
      <w:lang w:val="es-ES_tradnl" w:eastAsia="es-ES"/>
    </w:rPr>
  </w:style>
  <w:style w:type="paragraph" w:customStyle="1" w:styleId="ESCUDO">
    <w:name w:val="ESCUDO"/>
    <w:basedOn w:val="Encabezado"/>
    <w:rsid w:val="008D3D2D"/>
    <w:pPr>
      <w:tabs>
        <w:tab w:val="clear" w:pos="4419"/>
        <w:tab w:val="clear" w:pos="8838"/>
      </w:tabs>
      <w:suppressAutoHyphens/>
      <w:spacing w:line="288" w:lineRule="auto"/>
      <w:jc w:val="center"/>
    </w:pPr>
    <w:rPr>
      <w:kern w:val="1"/>
      <w:sz w:val="28"/>
      <w:szCs w:val="24"/>
      <w:lang w:eastAsia="ar-SA"/>
    </w:rPr>
  </w:style>
  <w:style w:type="paragraph" w:customStyle="1" w:styleId="PJN">
    <w:name w:val="PJN"/>
    <w:basedOn w:val="Encabezado"/>
    <w:rsid w:val="008D3D2D"/>
    <w:pPr>
      <w:tabs>
        <w:tab w:val="clear" w:pos="4419"/>
        <w:tab w:val="clear" w:pos="8838"/>
      </w:tabs>
      <w:suppressAutoHyphens/>
      <w:spacing w:after="60" w:line="288" w:lineRule="auto"/>
      <w:jc w:val="center"/>
    </w:pPr>
    <w:rPr>
      <w:kern w:val="1"/>
      <w:sz w:val="28"/>
      <w:szCs w:val="32"/>
      <w:lang w:val="es-MX" w:eastAsia="ar-SA"/>
    </w:rPr>
  </w:style>
  <w:style w:type="paragraph" w:styleId="Textonotaalfinal">
    <w:name w:val="endnote text"/>
    <w:basedOn w:val="Normal"/>
    <w:link w:val="TextonotaalfinalCar"/>
    <w:uiPriority w:val="99"/>
    <w:semiHidden/>
    <w:unhideWhenUsed/>
    <w:rsid w:val="00351DB7"/>
  </w:style>
  <w:style w:type="character" w:customStyle="1" w:styleId="TextonotaalfinalCar">
    <w:name w:val="Texto nota al final Car"/>
    <w:basedOn w:val="Fuentedeprrafopredeter"/>
    <w:link w:val="Textonotaalfinal"/>
    <w:uiPriority w:val="99"/>
    <w:semiHidden/>
    <w:rsid w:val="00351DB7"/>
    <w:rPr>
      <w:lang w:val="es-ES"/>
    </w:rPr>
  </w:style>
  <w:style w:type="character" w:styleId="Refdenotaalfinal">
    <w:name w:val="endnote reference"/>
    <w:basedOn w:val="Fuentedeprrafopredeter"/>
    <w:uiPriority w:val="99"/>
    <w:semiHidden/>
    <w:unhideWhenUsed/>
    <w:rsid w:val="00351DB7"/>
    <w:rPr>
      <w:vertAlign w:val="superscript"/>
    </w:rPr>
  </w:style>
  <w:style w:type="paragraph" w:styleId="Textonotapie">
    <w:name w:val="footnote text"/>
    <w:basedOn w:val="Normal"/>
    <w:link w:val="TextonotapieCar"/>
    <w:uiPriority w:val="99"/>
    <w:unhideWhenUsed/>
    <w:rsid w:val="00351DB7"/>
  </w:style>
  <w:style w:type="character" w:customStyle="1" w:styleId="TextonotapieCar">
    <w:name w:val="Texto nota pie Car"/>
    <w:basedOn w:val="Fuentedeprrafopredeter"/>
    <w:link w:val="Textonotapie"/>
    <w:uiPriority w:val="99"/>
    <w:rsid w:val="00351DB7"/>
    <w:rPr>
      <w:lang w:val="es-ES"/>
    </w:rPr>
  </w:style>
  <w:style w:type="character" w:styleId="Refdenotaalpie">
    <w:name w:val="footnote reference"/>
    <w:basedOn w:val="Fuentedeprrafopredeter"/>
    <w:uiPriority w:val="99"/>
    <w:semiHidden/>
    <w:unhideWhenUsed/>
    <w:rsid w:val="00351DB7"/>
    <w:rPr>
      <w:vertAlign w:val="superscript"/>
    </w:rPr>
  </w:style>
  <w:style w:type="paragraph" w:customStyle="1" w:styleId="Default">
    <w:name w:val="Default"/>
    <w:rsid w:val="00601100"/>
    <w:pPr>
      <w:autoSpaceDE w:val="0"/>
      <w:autoSpaceDN w:val="0"/>
      <w:adjustRightInd w:val="0"/>
    </w:pPr>
    <w:rPr>
      <w:color w:val="000000"/>
      <w:sz w:val="24"/>
      <w:szCs w:val="24"/>
    </w:rPr>
  </w:style>
  <w:style w:type="paragraph" w:styleId="NormalWeb">
    <w:name w:val="Normal (Web)"/>
    <w:basedOn w:val="Normal"/>
    <w:uiPriority w:val="99"/>
    <w:semiHidden/>
    <w:unhideWhenUsed/>
    <w:rsid w:val="00601100"/>
    <w:rPr>
      <w:sz w:val="24"/>
      <w:szCs w:val="24"/>
    </w:rPr>
  </w:style>
  <w:style w:type="character" w:styleId="Textoennegrita">
    <w:name w:val="Strong"/>
    <w:uiPriority w:val="22"/>
    <w:qFormat/>
    <w:rsid w:val="00601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tablas/r338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3483-2612-468E-9245-4A214E50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13024</Words>
  <Characters>71575</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84431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3</cp:revision>
  <cp:lastPrinted>2017-11-15T17:56:00Z</cp:lastPrinted>
  <dcterms:created xsi:type="dcterms:W3CDTF">2018-03-07T11:36:00Z</dcterms:created>
  <dcterms:modified xsi:type="dcterms:W3CDTF">2018-03-27T16:10:00Z</dcterms:modified>
</cp:coreProperties>
</file>